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A62" w:rsidRDefault="009A4A62" w:rsidP="00D65678">
      <w:pPr>
        <w:jc w:val="center"/>
        <w:rPr>
          <w:rFonts w:ascii="Times New Roman" w:hAnsi="Times New Roman" w:cs="Times New Roman"/>
          <w:b/>
          <w:sz w:val="32"/>
          <w:szCs w:val="32"/>
        </w:rPr>
      </w:pPr>
      <w:bookmarkStart w:id="0" w:name="_GoBack"/>
      <w:bookmarkEnd w:id="0"/>
    </w:p>
    <w:p w:rsidR="00BE427F" w:rsidRPr="003E338E" w:rsidRDefault="00793A35" w:rsidP="00D65678">
      <w:pPr>
        <w:jc w:val="center"/>
        <w:rPr>
          <w:rFonts w:ascii="Times New Roman" w:hAnsi="Times New Roman" w:cs="Times New Roman"/>
          <w:b/>
          <w:sz w:val="32"/>
          <w:szCs w:val="32"/>
        </w:rPr>
      </w:pPr>
      <w:r>
        <w:rPr>
          <w:rFonts w:ascii="Times New Roman" w:hAnsi="Times New Roman" w:cs="Times New Roman"/>
          <w:b/>
          <w:sz w:val="32"/>
          <w:szCs w:val="32"/>
        </w:rPr>
        <w:t>El derecho al ideario de</w:t>
      </w:r>
      <w:r w:rsidR="0095132B" w:rsidRPr="003E338E">
        <w:rPr>
          <w:rFonts w:ascii="Times New Roman" w:hAnsi="Times New Roman" w:cs="Times New Roman"/>
          <w:b/>
          <w:sz w:val="32"/>
          <w:szCs w:val="32"/>
        </w:rPr>
        <w:t xml:space="preserve"> las instituciones de inspiración religiosa</w:t>
      </w:r>
    </w:p>
    <w:p w:rsidR="0095132B" w:rsidRPr="003E338E" w:rsidRDefault="003E338E">
      <w:pPr>
        <w:rPr>
          <w:rFonts w:ascii="Times New Roman" w:hAnsi="Times New Roman" w:cs="Times New Roman"/>
        </w:rPr>
      </w:pPr>
      <w:r w:rsidRPr="003E338E">
        <w:rPr>
          <w:rFonts w:ascii="Times New Roman" w:hAnsi="Times New Roman" w:cs="Times New Roman"/>
        </w:rPr>
        <w:t>Por Alfonso Santiago</w:t>
      </w:r>
    </w:p>
    <w:sdt>
      <w:sdtPr>
        <w:rPr>
          <w:rFonts w:asciiTheme="minorHAnsi" w:eastAsiaTheme="minorHAnsi" w:hAnsiTheme="minorHAnsi" w:cstheme="minorBidi"/>
          <w:b w:val="0"/>
          <w:bCs w:val="0"/>
          <w:color w:val="auto"/>
          <w:sz w:val="22"/>
          <w:szCs w:val="22"/>
          <w:lang w:val="es-ES" w:eastAsia="en-US"/>
        </w:rPr>
        <w:id w:val="-1865512196"/>
        <w:docPartObj>
          <w:docPartGallery w:val="Table of Contents"/>
          <w:docPartUnique/>
        </w:docPartObj>
      </w:sdtPr>
      <w:sdtEndPr/>
      <w:sdtContent>
        <w:p w:rsidR="002529BF" w:rsidRDefault="002529BF">
          <w:pPr>
            <w:pStyle w:val="TtulodeTDC"/>
          </w:pPr>
          <w:r>
            <w:rPr>
              <w:lang w:val="es-ES"/>
            </w:rPr>
            <w:t>Contenido</w:t>
          </w:r>
        </w:p>
        <w:p w:rsidR="002529BF" w:rsidRDefault="002529BF">
          <w:pPr>
            <w:pStyle w:val="TDC1"/>
            <w:tabs>
              <w:tab w:val="right" w:leader="dot" w:pos="8828"/>
            </w:tabs>
          </w:pPr>
        </w:p>
        <w:p w:rsidR="009147D4" w:rsidRDefault="002529BF">
          <w:pPr>
            <w:pStyle w:val="TDC1"/>
            <w:tabs>
              <w:tab w:val="right" w:leader="dot" w:pos="8828"/>
            </w:tabs>
            <w:rPr>
              <w:rFonts w:eastAsiaTheme="minorEastAsia"/>
              <w:noProof/>
              <w:lang w:eastAsia="es-AR"/>
            </w:rPr>
          </w:pPr>
          <w:r>
            <w:fldChar w:fldCharType="begin"/>
          </w:r>
          <w:r>
            <w:instrText xml:space="preserve"> TOC \o "1-3" \h \z \u </w:instrText>
          </w:r>
          <w:r>
            <w:fldChar w:fldCharType="separate"/>
          </w:r>
          <w:hyperlink w:anchor="_Toc430959261" w:history="1">
            <w:r w:rsidR="009147D4" w:rsidRPr="0094302E">
              <w:rPr>
                <w:rStyle w:val="Hipervnculo"/>
                <w:noProof/>
              </w:rPr>
              <w:t>Presentación</w:t>
            </w:r>
            <w:r w:rsidR="009147D4">
              <w:rPr>
                <w:noProof/>
                <w:webHidden/>
              </w:rPr>
              <w:tab/>
            </w:r>
            <w:r w:rsidR="009147D4">
              <w:rPr>
                <w:noProof/>
                <w:webHidden/>
              </w:rPr>
              <w:fldChar w:fldCharType="begin"/>
            </w:r>
            <w:r w:rsidR="009147D4">
              <w:rPr>
                <w:noProof/>
                <w:webHidden/>
              </w:rPr>
              <w:instrText xml:space="preserve"> PAGEREF _Toc430959261 \h </w:instrText>
            </w:r>
            <w:r w:rsidR="009147D4">
              <w:rPr>
                <w:noProof/>
                <w:webHidden/>
              </w:rPr>
            </w:r>
            <w:r w:rsidR="009147D4">
              <w:rPr>
                <w:noProof/>
                <w:webHidden/>
              </w:rPr>
              <w:fldChar w:fldCharType="separate"/>
            </w:r>
            <w:r w:rsidR="00CD531F">
              <w:rPr>
                <w:noProof/>
                <w:webHidden/>
              </w:rPr>
              <w:t>2</w:t>
            </w:r>
            <w:r w:rsidR="009147D4">
              <w:rPr>
                <w:noProof/>
                <w:webHidden/>
              </w:rPr>
              <w:fldChar w:fldCharType="end"/>
            </w:r>
          </w:hyperlink>
        </w:p>
        <w:p w:rsidR="009147D4" w:rsidRDefault="00C20CD8">
          <w:pPr>
            <w:pStyle w:val="TDC1"/>
            <w:tabs>
              <w:tab w:val="right" w:leader="dot" w:pos="8828"/>
            </w:tabs>
            <w:rPr>
              <w:rFonts w:eastAsiaTheme="minorEastAsia"/>
              <w:noProof/>
              <w:lang w:eastAsia="es-AR"/>
            </w:rPr>
          </w:pPr>
          <w:hyperlink w:anchor="_Toc430959262" w:history="1">
            <w:r w:rsidR="009147D4" w:rsidRPr="0094302E">
              <w:rPr>
                <w:rStyle w:val="Hipervnculo"/>
                <w:noProof/>
                <w:lang w:val="es-ES_tradnl"/>
              </w:rPr>
              <w:t>A) El ideario como expresión de la identidad, sentido y misión de las instituciones de inspiración religiosa</w:t>
            </w:r>
            <w:r w:rsidR="009147D4">
              <w:rPr>
                <w:noProof/>
                <w:webHidden/>
              </w:rPr>
              <w:tab/>
            </w:r>
            <w:r w:rsidR="009147D4">
              <w:rPr>
                <w:noProof/>
                <w:webHidden/>
              </w:rPr>
              <w:fldChar w:fldCharType="begin"/>
            </w:r>
            <w:r w:rsidR="009147D4">
              <w:rPr>
                <w:noProof/>
                <w:webHidden/>
              </w:rPr>
              <w:instrText xml:space="preserve"> PAGEREF _Toc430959262 \h </w:instrText>
            </w:r>
            <w:r w:rsidR="009147D4">
              <w:rPr>
                <w:noProof/>
                <w:webHidden/>
              </w:rPr>
            </w:r>
            <w:r w:rsidR="009147D4">
              <w:rPr>
                <w:noProof/>
                <w:webHidden/>
              </w:rPr>
              <w:fldChar w:fldCharType="separate"/>
            </w:r>
            <w:r w:rsidR="00CD531F">
              <w:rPr>
                <w:noProof/>
                <w:webHidden/>
              </w:rPr>
              <w:t>3</w:t>
            </w:r>
            <w:r w:rsidR="009147D4">
              <w:rPr>
                <w:noProof/>
                <w:webHidden/>
              </w:rPr>
              <w:fldChar w:fldCharType="end"/>
            </w:r>
          </w:hyperlink>
        </w:p>
        <w:p w:rsidR="009147D4" w:rsidRDefault="00C20CD8">
          <w:pPr>
            <w:pStyle w:val="TDC1"/>
            <w:tabs>
              <w:tab w:val="right" w:leader="dot" w:pos="8828"/>
            </w:tabs>
            <w:rPr>
              <w:rFonts w:eastAsiaTheme="minorEastAsia"/>
              <w:noProof/>
              <w:lang w:eastAsia="es-AR"/>
            </w:rPr>
          </w:pPr>
          <w:hyperlink w:anchor="_Toc430959263" w:history="1">
            <w:r w:rsidR="009147D4" w:rsidRPr="0094302E">
              <w:rPr>
                <w:rStyle w:val="Hipervnculo"/>
                <w:noProof/>
              </w:rPr>
              <w:t>B) Las instituciones con ideario religioso como organizaciones de tendencia</w:t>
            </w:r>
            <w:r w:rsidR="009147D4">
              <w:rPr>
                <w:noProof/>
                <w:webHidden/>
              </w:rPr>
              <w:tab/>
            </w:r>
            <w:r w:rsidR="009147D4">
              <w:rPr>
                <w:noProof/>
                <w:webHidden/>
              </w:rPr>
              <w:fldChar w:fldCharType="begin"/>
            </w:r>
            <w:r w:rsidR="009147D4">
              <w:rPr>
                <w:noProof/>
                <w:webHidden/>
              </w:rPr>
              <w:instrText xml:space="preserve"> PAGEREF _Toc430959263 \h </w:instrText>
            </w:r>
            <w:r w:rsidR="009147D4">
              <w:rPr>
                <w:noProof/>
                <w:webHidden/>
              </w:rPr>
            </w:r>
            <w:r w:rsidR="009147D4">
              <w:rPr>
                <w:noProof/>
                <w:webHidden/>
              </w:rPr>
              <w:fldChar w:fldCharType="separate"/>
            </w:r>
            <w:r w:rsidR="00CD531F">
              <w:rPr>
                <w:noProof/>
                <w:webHidden/>
              </w:rPr>
              <w:t>4</w:t>
            </w:r>
            <w:r w:rsidR="009147D4">
              <w:rPr>
                <w:noProof/>
                <w:webHidden/>
              </w:rPr>
              <w:fldChar w:fldCharType="end"/>
            </w:r>
          </w:hyperlink>
        </w:p>
        <w:p w:rsidR="009147D4" w:rsidRDefault="00C20CD8" w:rsidP="003F1F90">
          <w:pPr>
            <w:pStyle w:val="TDC1"/>
            <w:tabs>
              <w:tab w:val="right" w:leader="dot" w:pos="8828"/>
            </w:tabs>
            <w:rPr>
              <w:rFonts w:eastAsiaTheme="minorEastAsia"/>
              <w:noProof/>
              <w:lang w:eastAsia="es-AR"/>
            </w:rPr>
          </w:pPr>
          <w:hyperlink w:anchor="_Toc430959264" w:history="1">
            <w:r w:rsidR="009147D4" w:rsidRPr="0094302E">
              <w:rPr>
                <w:rStyle w:val="Hipervnculo"/>
                <w:noProof/>
                <w:lang w:val="es-ES_tradnl"/>
              </w:rPr>
              <w:t>C) Los derechos humanos que fundan la posibilidad de promover instituciones de inspiración religiosa</w:t>
            </w:r>
            <w:r w:rsidR="009147D4">
              <w:rPr>
                <w:noProof/>
                <w:webHidden/>
              </w:rPr>
              <w:tab/>
            </w:r>
            <w:r w:rsidR="009147D4">
              <w:rPr>
                <w:noProof/>
                <w:webHidden/>
              </w:rPr>
              <w:fldChar w:fldCharType="begin"/>
            </w:r>
            <w:r w:rsidR="009147D4">
              <w:rPr>
                <w:noProof/>
                <w:webHidden/>
              </w:rPr>
              <w:instrText xml:space="preserve"> PAGEREF _Toc430959264 \h </w:instrText>
            </w:r>
            <w:r w:rsidR="009147D4">
              <w:rPr>
                <w:noProof/>
                <w:webHidden/>
              </w:rPr>
            </w:r>
            <w:r w:rsidR="009147D4">
              <w:rPr>
                <w:noProof/>
                <w:webHidden/>
              </w:rPr>
              <w:fldChar w:fldCharType="separate"/>
            </w:r>
            <w:r w:rsidR="00CD531F">
              <w:rPr>
                <w:noProof/>
                <w:webHidden/>
              </w:rPr>
              <w:t>7</w:t>
            </w:r>
            <w:r w:rsidR="009147D4">
              <w:rPr>
                <w:noProof/>
                <w:webHidden/>
              </w:rPr>
              <w:fldChar w:fldCharType="end"/>
            </w:r>
          </w:hyperlink>
        </w:p>
        <w:p w:rsidR="009147D4" w:rsidRDefault="00C20CD8">
          <w:pPr>
            <w:pStyle w:val="TDC1"/>
            <w:tabs>
              <w:tab w:val="right" w:leader="dot" w:pos="8828"/>
            </w:tabs>
            <w:rPr>
              <w:rFonts w:eastAsiaTheme="minorEastAsia"/>
              <w:noProof/>
              <w:lang w:eastAsia="es-AR"/>
            </w:rPr>
          </w:pPr>
          <w:hyperlink w:anchor="_Toc430959266" w:history="1">
            <w:r w:rsidR="009147D4" w:rsidRPr="0094302E">
              <w:rPr>
                <w:rStyle w:val="Hipervnculo"/>
                <w:noProof/>
                <w:lang w:val="es-ES_tradnl"/>
              </w:rPr>
              <w:t>D) El pluralismo social de nuestras democracias constitucionales y su creciente reconocimiento jurisprudencial</w:t>
            </w:r>
            <w:r w:rsidR="009147D4">
              <w:rPr>
                <w:noProof/>
                <w:webHidden/>
              </w:rPr>
              <w:tab/>
            </w:r>
            <w:r w:rsidR="009147D4">
              <w:rPr>
                <w:noProof/>
                <w:webHidden/>
              </w:rPr>
              <w:fldChar w:fldCharType="begin"/>
            </w:r>
            <w:r w:rsidR="009147D4">
              <w:rPr>
                <w:noProof/>
                <w:webHidden/>
              </w:rPr>
              <w:instrText xml:space="preserve"> PAGEREF _Toc430959266 \h </w:instrText>
            </w:r>
            <w:r w:rsidR="009147D4">
              <w:rPr>
                <w:noProof/>
                <w:webHidden/>
              </w:rPr>
            </w:r>
            <w:r w:rsidR="009147D4">
              <w:rPr>
                <w:noProof/>
                <w:webHidden/>
              </w:rPr>
              <w:fldChar w:fldCharType="separate"/>
            </w:r>
            <w:r w:rsidR="00CD531F">
              <w:rPr>
                <w:noProof/>
                <w:webHidden/>
              </w:rPr>
              <w:t>10</w:t>
            </w:r>
            <w:r w:rsidR="009147D4">
              <w:rPr>
                <w:noProof/>
                <w:webHidden/>
              </w:rPr>
              <w:fldChar w:fldCharType="end"/>
            </w:r>
          </w:hyperlink>
        </w:p>
        <w:p w:rsidR="009147D4" w:rsidRDefault="00C20CD8">
          <w:pPr>
            <w:pStyle w:val="TDC1"/>
            <w:tabs>
              <w:tab w:val="right" w:leader="dot" w:pos="8828"/>
            </w:tabs>
            <w:rPr>
              <w:rFonts w:eastAsiaTheme="minorEastAsia"/>
              <w:noProof/>
              <w:lang w:eastAsia="es-AR"/>
            </w:rPr>
          </w:pPr>
          <w:hyperlink w:anchor="_Toc430959267" w:history="1">
            <w:r w:rsidR="009147D4" w:rsidRPr="0094302E">
              <w:rPr>
                <w:rStyle w:val="Hipervnculo"/>
                <w:noProof/>
              </w:rPr>
              <w:t>E) Conclusiones</w:t>
            </w:r>
            <w:r w:rsidR="009147D4">
              <w:rPr>
                <w:noProof/>
                <w:webHidden/>
              </w:rPr>
              <w:tab/>
            </w:r>
            <w:r w:rsidR="009147D4">
              <w:rPr>
                <w:noProof/>
                <w:webHidden/>
              </w:rPr>
              <w:fldChar w:fldCharType="begin"/>
            </w:r>
            <w:r w:rsidR="009147D4">
              <w:rPr>
                <w:noProof/>
                <w:webHidden/>
              </w:rPr>
              <w:instrText xml:space="preserve"> PAGEREF _Toc430959267 \h </w:instrText>
            </w:r>
            <w:r w:rsidR="009147D4">
              <w:rPr>
                <w:noProof/>
                <w:webHidden/>
              </w:rPr>
            </w:r>
            <w:r w:rsidR="009147D4">
              <w:rPr>
                <w:noProof/>
                <w:webHidden/>
              </w:rPr>
              <w:fldChar w:fldCharType="separate"/>
            </w:r>
            <w:r w:rsidR="00CD531F">
              <w:rPr>
                <w:noProof/>
                <w:webHidden/>
              </w:rPr>
              <w:t>13</w:t>
            </w:r>
            <w:r w:rsidR="009147D4">
              <w:rPr>
                <w:noProof/>
                <w:webHidden/>
              </w:rPr>
              <w:fldChar w:fldCharType="end"/>
            </w:r>
          </w:hyperlink>
        </w:p>
        <w:p w:rsidR="002529BF" w:rsidRDefault="002529BF">
          <w:r>
            <w:rPr>
              <w:b/>
              <w:bCs/>
              <w:lang w:val="es-ES"/>
            </w:rPr>
            <w:fldChar w:fldCharType="end"/>
          </w:r>
        </w:p>
      </w:sdtContent>
    </w:sdt>
    <w:p w:rsidR="003E338E" w:rsidRPr="003E338E" w:rsidRDefault="00FE596B">
      <w:pPr>
        <w:rPr>
          <w:rFonts w:ascii="Times New Roman" w:hAnsi="Times New Roman" w:cs="Times New Roman"/>
          <w:b/>
          <w:sz w:val="24"/>
          <w:szCs w:val="24"/>
        </w:rPr>
      </w:pPr>
      <w:r>
        <w:rPr>
          <w:rFonts w:ascii="Times New Roman" w:hAnsi="Times New Roman" w:cs="Times New Roman"/>
          <w:b/>
          <w:sz w:val="24"/>
          <w:szCs w:val="24"/>
        </w:rPr>
        <w:br w:type="column"/>
      </w:r>
    </w:p>
    <w:p w:rsidR="0095132B" w:rsidRPr="003E338E" w:rsidRDefault="0095132B" w:rsidP="00FE596B">
      <w:pPr>
        <w:pStyle w:val="Ttulo1"/>
      </w:pPr>
      <w:bookmarkStart w:id="1" w:name="_Toc430959261"/>
      <w:r w:rsidRPr="003E338E">
        <w:t>Presentación</w:t>
      </w:r>
      <w:bookmarkEnd w:id="1"/>
    </w:p>
    <w:p w:rsidR="00FE596B" w:rsidRDefault="00FE596B" w:rsidP="00FE596B">
      <w:pPr>
        <w:jc w:val="both"/>
        <w:rPr>
          <w:rFonts w:ascii="Times New Roman" w:hAnsi="Times New Roman" w:cs="Times New Roman"/>
        </w:rPr>
      </w:pPr>
    </w:p>
    <w:p w:rsidR="0095132B" w:rsidRPr="003E338E" w:rsidRDefault="0095132B" w:rsidP="00FE596B">
      <w:pPr>
        <w:jc w:val="both"/>
        <w:rPr>
          <w:rFonts w:ascii="Times New Roman" w:hAnsi="Times New Roman" w:cs="Times New Roman"/>
        </w:rPr>
      </w:pPr>
      <w:r w:rsidRPr="003E338E">
        <w:rPr>
          <w:rFonts w:ascii="Times New Roman" w:hAnsi="Times New Roman" w:cs="Times New Roman"/>
        </w:rPr>
        <w:t>Es un dato de la realidad social que un número importante de instituciones médicas, educativas, universitarias y asistenciales han nacido y desarrollan sus actividades inspiradas en ideales de carácter religioso.</w:t>
      </w:r>
    </w:p>
    <w:p w:rsidR="0095132B" w:rsidRPr="00C17FD8" w:rsidRDefault="00FE596B" w:rsidP="00FE596B">
      <w:pPr>
        <w:spacing w:line="240" w:lineRule="auto"/>
        <w:jc w:val="both"/>
        <w:rPr>
          <w:rFonts w:ascii="Times New Roman" w:hAnsi="Times New Roman" w:cs="Times New Roman"/>
          <w:sz w:val="24"/>
          <w:szCs w:val="24"/>
          <w:lang w:val="es-ES_tradnl"/>
        </w:rPr>
      </w:pPr>
      <w:r>
        <w:rPr>
          <w:rFonts w:ascii="Times New Roman" w:hAnsi="Times New Roman" w:cs="Times New Roman"/>
          <w:sz w:val="24"/>
          <w:szCs w:val="24"/>
        </w:rPr>
        <w:t>Así, p. ej., teniendo</w:t>
      </w:r>
      <w:r w:rsidR="0095132B" w:rsidRPr="00C17FD8">
        <w:rPr>
          <w:rFonts w:ascii="Times New Roman" w:hAnsi="Times New Roman" w:cs="Times New Roman"/>
          <w:sz w:val="24"/>
          <w:szCs w:val="24"/>
        </w:rPr>
        <w:t xml:space="preserve"> únicamente en cuenta a las  universidades católicas y otros institutos de estudios superiores</w:t>
      </w:r>
      <w:r w:rsidR="0095132B">
        <w:rPr>
          <w:rFonts w:ascii="Times New Roman" w:hAnsi="Times New Roman" w:cs="Times New Roman"/>
          <w:sz w:val="24"/>
          <w:szCs w:val="24"/>
        </w:rPr>
        <w:t xml:space="preserve"> de similares características</w:t>
      </w:r>
      <w:r w:rsidR="0095132B" w:rsidRPr="00C17FD8">
        <w:rPr>
          <w:rFonts w:ascii="Times New Roman" w:hAnsi="Times New Roman" w:cs="Times New Roman"/>
          <w:sz w:val="24"/>
          <w:szCs w:val="24"/>
        </w:rPr>
        <w:t>, existen 1861 centros de este tipo en todo el mundo, distribuidos del siguiente modo</w:t>
      </w:r>
      <w:r w:rsidR="0095132B" w:rsidRPr="00C17FD8">
        <w:rPr>
          <w:rStyle w:val="Refdenotaalpie"/>
          <w:rFonts w:ascii="Times New Roman" w:hAnsi="Times New Roman" w:cs="Times New Roman"/>
          <w:sz w:val="24"/>
          <w:szCs w:val="24"/>
        </w:rPr>
        <w:footnoteReference w:id="1"/>
      </w:r>
      <w:r w:rsidR="0095132B" w:rsidRPr="00C17FD8">
        <w:rPr>
          <w:rFonts w:ascii="Times New Roman" w:hAnsi="Times New Roman" w:cs="Times New Roman"/>
          <w:sz w:val="24"/>
          <w:szCs w:val="24"/>
        </w:rPr>
        <w:t>:</w:t>
      </w:r>
    </w:p>
    <w:p w:rsidR="0095132B" w:rsidRPr="00C17FD8" w:rsidRDefault="0095132B" w:rsidP="0095132B">
      <w:pPr>
        <w:widowControl w:val="0"/>
        <w:numPr>
          <w:ilvl w:val="0"/>
          <w:numId w:val="1"/>
        </w:numPr>
        <w:tabs>
          <w:tab w:val="left" w:pos="1146"/>
        </w:tabs>
        <w:suppressAutoHyphens/>
        <w:autoSpaceDE w:val="0"/>
        <w:spacing w:before="100" w:after="100" w:line="240" w:lineRule="auto"/>
        <w:jc w:val="both"/>
        <w:rPr>
          <w:rFonts w:ascii="Times New Roman" w:hAnsi="Times New Roman" w:cs="Times New Roman"/>
          <w:sz w:val="24"/>
          <w:szCs w:val="24"/>
          <w:lang w:val="es-ES_tradnl"/>
        </w:rPr>
      </w:pPr>
      <w:r w:rsidRPr="00C17FD8">
        <w:rPr>
          <w:rFonts w:ascii="Times New Roman" w:hAnsi="Times New Roman" w:cs="Times New Roman"/>
          <w:sz w:val="24"/>
          <w:szCs w:val="24"/>
          <w:lang w:val="es-ES_tradnl"/>
        </w:rPr>
        <w:t>545 en Europa</w:t>
      </w:r>
    </w:p>
    <w:p w:rsidR="0095132B" w:rsidRPr="00C17FD8" w:rsidRDefault="0095132B" w:rsidP="0095132B">
      <w:pPr>
        <w:widowControl w:val="0"/>
        <w:numPr>
          <w:ilvl w:val="0"/>
          <w:numId w:val="1"/>
        </w:numPr>
        <w:tabs>
          <w:tab w:val="left" w:pos="1146"/>
        </w:tabs>
        <w:suppressAutoHyphens/>
        <w:autoSpaceDE w:val="0"/>
        <w:spacing w:before="100" w:after="100" w:line="240" w:lineRule="auto"/>
        <w:jc w:val="both"/>
        <w:rPr>
          <w:rFonts w:ascii="Times New Roman" w:hAnsi="Times New Roman" w:cs="Times New Roman"/>
          <w:sz w:val="24"/>
          <w:szCs w:val="24"/>
          <w:lang w:val="es-ES_tradnl"/>
        </w:rPr>
      </w:pPr>
      <w:r w:rsidRPr="00C17FD8">
        <w:rPr>
          <w:rFonts w:ascii="Times New Roman" w:hAnsi="Times New Roman" w:cs="Times New Roman"/>
          <w:sz w:val="24"/>
          <w:szCs w:val="24"/>
          <w:lang w:val="es-ES_tradnl"/>
        </w:rPr>
        <w:t>322 en América del Norte</w:t>
      </w:r>
    </w:p>
    <w:p w:rsidR="0095132B" w:rsidRPr="00C17FD8" w:rsidRDefault="0095132B" w:rsidP="0095132B">
      <w:pPr>
        <w:widowControl w:val="0"/>
        <w:numPr>
          <w:ilvl w:val="0"/>
          <w:numId w:val="1"/>
        </w:numPr>
        <w:tabs>
          <w:tab w:val="left" w:pos="1146"/>
        </w:tabs>
        <w:suppressAutoHyphens/>
        <w:autoSpaceDE w:val="0"/>
        <w:spacing w:before="100" w:after="100" w:line="240" w:lineRule="auto"/>
        <w:jc w:val="both"/>
        <w:rPr>
          <w:rFonts w:ascii="Times New Roman" w:hAnsi="Times New Roman" w:cs="Times New Roman"/>
          <w:sz w:val="24"/>
          <w:szCs w:val="24"/>
          <w:lang w:val="es-ES_tradnl"/>
        </w:rPr>
      </w:pPr>
      <w:r w:rsidRPr="00C17FD8">
        <w:rPr>
          <w:rFonts w:ascii="Times New Roman" w:hAnsi="Times New Roman" w:cs="Times New Roman"/>
          <w:sz w:val="24"/>
          <w:szCs w:val="24"/>
          <w:lang w:val="es-ES_tradnl"/>
        </w:rPr>
        <w:t>229 en América del Sur</w:t>
      </w:r>
    </w:p>
    <w:p w:rsidR="0095132B" w:rsidRPr="00C17FD8" w:rsidRDefault="0095132B" w:rsidP="0095132B">
      <w:pPr>
        <w:widowControl w:val="0"/>
        <w:numPr>
          <w:ilvl w:val="0"/>
          <w:numId w:val="1"/>
        </w:numPr>
        <w:tabs>
          <w:tab w:val="left" w:pos="1146"/>
        </w:tabs>
        <w:suppressAutoHyphens/>
        <w:autoSpaceDE w:val="0"/>
        <w:spacing w:before="100" w:after="100" w:line="240" w:lineRule="auto"/>
        <w:jc w:val="both"/>
        <w:rPr>
          <w:rFonts w:ascii="Times New Roman" w:hAnsi="Times New Roman" w:cs="Times New Roman"/>
          <w:sz w:val="24"/>
          <w:szCs w:val="24"/>
          <w:lang w:val="es-ES_tradnl"/>
        </w:rPr>
      </w:pPr>
      <w:r w:rsidRPr="00C17FD8">
        <w:rPr>
          <w:rFonts w:ascii="Times New Roman" w:hAnsi="Times New Roman" w:cs="Times New Roman"/>
          <w:sz w:val="24"/>
          <w:szCs w:val="24"/>
          <w:lang w:val="es-ES_tradnl"/>
        </w:rPr>
        <w:t>611 en Asia</w:t>
      </w:r>
    </w:p>
    <w:p w:rsidR="0095132B" w:rsidRPr="00C17FD8" w:rsidRDefault="0095132B" w:rsidP="0095132B">
      <w:pPr>
        <w:widowControl w:val="0"/>
        <w:numPr>
          <w:ilvl w:val="0"/>
          <w:numId w:val="1"/>
        </w:numPr>
        <w:tabs>
          <w:tab w:val="left" w:pos="1146"/>
        </w:tabs>
        <w:suppressAutoHyphens/>
        <w:autoSpaceDE w:val="0"/>
        <w:spacing w:before="100" w:after="100" w:line="240" w:lineRule="auto"/>
        <w:jc w:val="both"/>
        <w:rPr>
          <w:rFonts w:ascii="Times New Roman" w:hAnsi="Times New Roman" w:cs="Times New Roman"/>
          <w:sz w:val="24"/>
          <w:szCs w:val="24"/>
          <w:lang w:val="es-ES_tradnl"/>
        </w:rPr>
      </w:pPr>
      <w:r w:rsidRPr="00C17FD8">
        <w:rPr>
          <w:rFonts w:ascii="Times New Roman" w:hAnsi="Times New Roman" w:cs="Times New Roman"/>
          <w:sz w:val="24"/>
          <w:szCs w:val="24"/>
          <w:lang w:val="es-ES_tradnl"/>
        </w:rPr>
        <w:t>19 en Oceanía</w:t>
      </w:r>
    </w:p>
    <w:p w:rsidR="0095132B" w:rsidRPr="00C17FD8" w:rsidRDefault="0095132B" w:rsidP="0095132B">
      <w:pPr>
        <w:widowControl w:val="0"/>
        <w:numPr>
          <w:ilvl w:val="0"/>
          <w:numId w:val="1"/>
        </w:numPr>
        <w:tabs>
          <w:tab w:val="left" w:pos="1146"/>
        </w:tabs>
        <w:suppressAutoHyphens/>
        <w:autoSpaceDE w:val="0"/>
        <w:spacing w:before="100" w:after="100" w:line="240" w:lineRule="auto"/>
        <w:jc w:val="both"/>
        <w:rPr>
          <w:rFonts w:ascii="Times New Roman" w:hAnsi="Times New Roman" w:cs="Times New Roman"/>
          <w:sz w:val="24"/>
          <w:szCs w:val="24"/>
          <w:lang w:val="es-ES_tradnl"/>
        </w:rPr>
      </w:pPr>
      <w:r w:rsidRPr="00C17FD8">
        <w:rPr>
          <w:rFonts w:ascii="Times New Roman" w:hAnsi="Times New Roman" w:cs="Times New Roman"/>
          <w:sz w:val="24"/>
          <w:szCs w:val="24"/>
          <w:lang w:val="es-ES_tradnl"/>
        </w:rPr>
        <w:t xml:space="preserve">25 en América Central </w:t>
      </w:r>
    </w:p>
    <w:p w:rsidR="0095132B" w:rsidRPr="00C17FD8" w:rsidRDefault="0095132B" w:rsidP="0095132B">
      <w:pPr>
        <w:pStyle w:val="Prrafodelista"/>
        <w:widowControl w:val="0"/>
        <w:numPr>
          <w:ilvl w:val="0"/>
          <w:numId w:val="1"/>
        </w:numPr>
        <w:suppressAutoHyphens/>
        <w:autoSpaceDE w:val="0"/>
        <w:spacing w:before="100" w:after="100" w:line="240" w:lineRule="auto"/>
        <w:jc w:val="both"/>
        <w:rPr>
          <w:rFonts w:ascii="Times New Roman" w:hAnsi="Times New Roman" w:cs="Times New Roman"/>
          <w:sz w:val="24"/>
          <w:szCs w:val="24"/>
          <w:lang w:val="es-ES_tradnl"/>
        </w:rPr>
      </w:pPr>
      <w:r w:rsidRPr="00C17FD8">
        <w:rPr>
          <w:rFonts w:ascii="Times New Roman" w:hAnsi="Times New Roman" w:cs="Times New Roman"/>
          <w:sz w:val="24"/>
          <w:szCs w:val="24"/>
          <w:lang w:val="es-ES_tradnl"/>
        </w:rPr>
        <w:t>110 en África</w:t>
      </w:r>
    </w:p>
    <w:p w:rsidR="00C52871" w:rsidRDefault="00C52871" w:rsidP="003E338E">
      <w:pPr>
        <w:jc w:val="both"/>
        <w:rPr>
          <w:rFonts w:ascii="Times New Roman" w:hAnsi="Times New Roman" w:cs="Times New Roman"/>
          <w:sz w:val="24"/>
          <w:szCs w:val="24"/>
          <w:lang w:val="es-ES_tradnl"/>
        </w:rPr>
      </w:pPr>
    </w:p>
    <w:p w:rsidR="0095132B" w:rsidRPr="003E338E" w:rsidRDefault="0095132B" w:rsidP="003E338E">
      <w:pPr>
        <w:jc w:val="both"/>
        <w:rPr>
          <w:rFonts w:ascii="Times New Roman" w:hAnsi="Times New Roman" w:cs="Times New Roman"/>
          <w:sz w:val="24"/>
          <w:szCs w:val="24"/>
        </w:rPr>
      </w:pPr>
      <w:r w:rsidRPr="003E338E">
        <w:rPr>
          <w:rFonts w:ascii="Times New Roman" w:hAnsi="Times New Roman" w:cs="Times New Roman"/>
          <w:sz w:val="24"/>
          <w:szCs w:val="24"/>
          <w:lang w:val="es-ES_tradnl"/>
        </w:rPr>
        <w:t>Por otra parte</w:t>
      </w:r>
      <w:r w:rsidRPr="003E338E">
        <w:rPr>
          <w:rFonts w:ascii="Times New Roman" w:hAnsi="Times New Roman" w:cs="Times New Roman"/>
          <w:sz w:val="24"/>
          <w:szCs w:val="24"/>
        </w:rPr>
        <w:t>, cabe señalar que  el 15 % de los hospitales en EEUU pertenecen a las instituciones católicas</w:t>
      </w:r>
      <w:r w:rsidR="009A4A62">
        <w:rPr>
          <w:rFonts w:ascii="Times New Roman" w:hAnsi="Times New Roman" w:cs="Times New Roman"/>
          <w:sz w:val="24"/>
          <w:szCs w:val="24"/>
        </w:rPr>
        <w:t>. Al dar la bienvenida al Papa Francisco en su reciente viaje a ese país, el Presidente Obama reconoció y agradeció todo el trabajo que realizan las instituciones católica en el ámbito educativo, médico y social.</w:t>
      </w:r>
    </w:p>
    <w:p w:rsidR="0095132B" w:rsidRPr="003E338E" w:rsidRDefault="002529BF" w:rsidP="003E338E">
      <w:pPr>
        <w:jc w:val="both"/>
        <w:rPr>
          <w:rFonts w:ascii="Times New Roman" w:hAnsi="Times New Roman" w:cs="Times New Roman"/>
          <w:sz w:val="24"/>
          <w:szCs w:val="24"/>
        </w:rPr>
      </w:pPr>
      <w:r>
        <w:rPr>
          <w:rFonts w:ascii="Times New Roman" w:hAnsi="Times New Roman" w:cs="Times New Roman"/>
          <w:sz w:val="24"/>
          <w:szCs w:val="24"/>
        </w:rPr>
        <w:t>En los últimos años se han dictado</w:t>
      </w:r>
      <w:r w:rsidR="0095132B" w:rsidRPr="003E338E">
        <w:rPr>
          <w:rFonts w:ascii="Times New Roman" w:hAnsi="Times New Roman" w:cs="Times New Roman"/>
          <w:sz w:val="24"/>
          <w:szCs w:val="24"/>
        </w:rPr>
        <w:t xml:space="preserve"> </w:t>
      </w:r>
      <w:r w:rsidR="009A4A62">
        <w:rPr>
          <w:rFonts w:ascii="Times New Roman" w:hAnsi="Times New Roman" w:cs="Times New Roman"/>
          <w:sz w:val="24"/>
          <w:szCs w:val="24"/>
        </w:rPr>
        <w:t xml:space="preserve">en distintos países </w:t>
      </w:r>
      <w:r w:rsidR="0095132B" w:rsidRPr="003E338E">
        <w:rPr>
          <w:rFonts w:ascii="Times New Roman" w:hAnsi="Times New Roman" w:cs="Times New Roman"/>
          <w:sz w:val="24"/>
          <w:szCs w:val="24"/>
        </w:rPr>
        <w:t>un número importantes de leyes que introducen prácticas médicas (aborto, esterilizaciones, anticoncepción de emer</w:t>
      </w:r>
      <w:r w:rsidR="00FE596B">
        <w:rPr>
          <w:rFonts w:ascii="Times New Roman" w:hAnsi="Times New Roman" w:cs="Times New Roman"/>
          <w:sz w:val="24"/>
          <w:szCs w:val="24"/>
        </w:rPr>
        <w:t>gencia, etc.)</w:t>
      </w:r>
      <w:r>
        <w:rPr>
          <w:rFonts w:ascii="Times New Roman" w:hAnsi="Times New Roman" w:cs="Times New Roman"/>
          <w:sz w:val="24"/>
          <w:szCs w:val="24"/>
        </w:rPr>
        <w:t>,</w:t>
      </w:r>
      <w:r w:rsidR="00FE596B">
        <w:rPr>
          <w:rFonts w:ascii="Times New Roman" w:hAnsi="Times New Roman" w:cs="Times New Roman"/>
          <w:sz w:val="24"/>
          <w:szCs w:val="24"/>
        </w:rPr>
        <w:t xml:space="preserve"> </w:t>
      </w:r>
      <w:r w:rsidR="0095132B" w:rsidRPr="003E338E">
        <w:rPr>
          <w:rFonts w:ascii="Times New Roman" w:hAnsi="Times New Roman" w:cs="Times New Roman"/>
          <w:sz w:val="24"/>
          <w:szCs w:val="24"/>
        </w:rPr>
        <w:t>contenidos educativos</w:t>
      </w:r>
      <w:r w:rsidR="0088392D">
        <w:rPr>
          <w:rFonts w:ascii="Times New Roman" w:hAnsi="Times New Roman" w:cs="Times New Roman"/>
          <w:sz w:val="24"/>
          <w:szCs w:val="24"/>
        </w:rPr>
        <w:t xml:space="preserve"> obligatorios</w:t>
      </w:r>
      <w:r w:rsidR="00FE596B">
        <w:rPr>
          <w:rFonts w:ascii="Times New Roman" w:hAnsi="Times New Roman" w:cs="Times New Roman"/>
          <w:sz w:val="24"/>
          <w:szCs w:val="24"/>
        </w:rPr>
        <w:t xml:space="preserve"> o disposiciones jurídicas</w:t>
      </w:r>
      <w:r w:rsidR="0095132B" w:rsidRPr="003E338E">
        <w:rPr>
          <w:rFonts w:ascii="Times New Roman" w:hAnsi="Times New Roman" w:cs="Times New Roman"/>
          <w:sz w:val="24"/>
          <w:szCs w:val="24"/>
        </w:rPr>
        <w:t xml:space="preserve"> </w:t>
      </w:r>
      <w:r w:rsidR="00793A35">
        <w:rPr>
          <w:rFonts w:ascii="Times New Roman" w:hAnsi="Times New Roman" w:cs="Times New Roman"/>
          <w:sz w:val="24"/>
          <w:szCs w:val="24"/>
        </w:rPr>
        <w:t xml:space="preserve">sobre no discriminación, </w:t>
      </w:r>
      <w:r w:rsidR="0095132B" w:rsidRPr="003E338E">
        <w:rPr>
          <w:rFonts w:ascii="Times New Roman" w:hAnsi="Times New Roman" w:cs="Times New Roman"/>
          <w:sz w:val="24"/>
          <w:szCs w:val="24"/>
        </w:rPr>
        <w:t>que</w:t>
      </w:r>
      <w:r w:rsidR="00793A35">
        <w:rPr>
          <w:rFonts w:ascii="Times New Roman" w:hAnsi="Times New Roman" w:cs="Times New Roman"/>
          <w:sz w:val="24"/>
          <w:szCs w:val="24"/>
        </w:rPr>
        <w:t xml:space="preserve">, en algunos supuestos, </w:t>
      </w:r>
      <w:r w:rsidR="0095132B" w:rsidRPr="003E338E">
        <w:rPr>
          <w:rFonts w:ascii="Times New Roman" w:hAnsi="Times New Roman" w:cs="Times New Roman"/>
          <w:sz w:val="24"/>
          <w:szCs w:val="24"/>
        </w:rPr>
        <w:t xml:space="preserve"> contradicen abiertamente los idearios de esas instituciones. </w:t>
      </w:r>
    </w:p>
    <w:p w:rsidR="00793A35" w:rsidRDefault="0095132B" w:rsidP="003E338E">
      <w:pPr>
        <w:jc w:val="both"/>
        <w:rPr>
          <w:rFonts w:ascii="Times New Roman" w:hAnsi="Times New Roman" w:cs="Times New Roman"/>
          <w:sz w:val="24"/>
          <w:szCs w:val="24"/>
        </w:rPr>
      </w:pPr>
      <w:r w:rsidRPr="003E338E">
        <w:rPr>
          <w:rFonts w:ascii="Times New Roman" w:hAnsi="Times New Roman" w:cs="Times New Roman"/>
          <w:sz w:val="24"/>
          <w:szCs w:val="24"/>
        </w:rPr>
        <w:t xml:space="preserve">La pregunta que pretendemos contestar en esta comunicación es la siguiente:¿cabe reconocer a estas instituciones el derecho de no realizar las prácticas médicas y no transmitir los contenidos educativos que contradicen abiertamente su ideario institucional? ¿cabría hablar de </w:t>
      </w:r>
      <w:r w:rsidR="002529BF">
        <w:rPr>
          <w:rFonts w:ascii="Times New Roman" w:hAnsi="Times New Roman" w:cs="Times New Roman"/>
          <w:sz w:val="24"/>
          <w:szCs w:val="24"/>
        </w:rPr>
        <w:t>derecho a la</w:t>
      </w:r>
      <w:r w:rsidRPr="003E338E">
        <w:rPr>
          <w:rFonts w:ascii="Times New Roman" w:hAnsi="Times New Roman" w:cs="Times New Roman"/>
          <w:sz w:val="24"/>
          <w:szCs w:val="24"/>
        </w:rPr>
        <w:t xml:space="preserve"> </w:t>
      </w:r>
      <w:r w:rsidR="002529BF">
        <w:rPr>
          <w:rFonts w:ascii="Times New Roman" w:hAnsi="Times New Roman" w:cs="Times New Roman"/>
          <w:sz w:val="24"/>
          <w:szCs w:val="24"/>
        </w:rPr>
        <w:t>“</w:t>
      </w:r>
      <w:r w:rsidRPr="003E338E">
        <w:rPr>
          <w:rFonts w:ascii="Times New Roman" w:hAnsi="Times New Roman" w:cs="Times New Roman"/>
          <w:sz w:val="24"/>
          <w:szCs w:val="24"/>
        </w:rPr>
        <w:t>objeción de conciencia de carácter institucional</w:t>
      </w:r>
      <w:r w:rsidR="002529BF">
        <w:rPr>
          <w:rFonts w:ascii="Times New Roman" w:hAnsi="Times New Roman" w:cs="Times New Roman"/>
          <w:sz w:val="24"/>
          <w:szCs w:val="24"/>
        </w:rPr>
        <w:t>”</w:t>
      </w:r>
      <w:r w:rsidRPr="003E338E">
        <w:rPr>
          <w:rFonts w:ascii="Times New Roman" w:hAnsi="Times New Roman" w:cs="Times New Roman"/>
          <w:sz w:val="24"/>
          <w:szCs w:val="24"/>
        </w:rPr>
        <w:t>?</w:t>
      </w:r>
      <w:r w:rsidR="00FE596B">
        <w:rPr>
          <w:rFonts w:ascii="Times New Roman" w:hAnsi="Times New Roman" w:cs="Times New Roman"/>
          <w:sz w:val="24"/>
          <w:szCs w:val="24"/>
        </w:rPr>
        <w:t xml:space="preserve"> ¿las norma</w:t>
      </w:r>
      <w:r w:rsidR="00A26C95">
        <w:rPr>
          <w:rFonts w:ascii="Times New Roman" w:hAnsi="Times New Roman" w:cs="Times New Roman"/>
          <w:sz w:val="24"/>
          <w:szCs w:val="24"/>
        </w:rPr>
        <w:t>s sobre no discriminación pueden tener</w:t>
      </w:r>
      <w:r w:rsidR="00FE596B">
        <w:rPr>
          <w:rFonts w:ascii="Times New Roman" w:hAnsi="Times New Roman" w:cs="Times New Roman"/>
          <w:sz w:val="24"/>
          <w:szCs w:val="24"/>
        </w:rPr>
        <w:t xml:space="preserve"> una modalidad particular de aplicación</w:t>
      </w:r>
      <w:r w:rsidR="002529BF">
        <w:rPr>
          <w:rFonts w:ascii="Times New Roman" w:hAnsi="Times New Roman" w:cs="Times New Roman"/>
          <w:sz w:val="24"/>
          <w:szCs w:val="24"/>
        </w:rPr>
        <w:t xml:space="preserve"> en este tipo de entidades</w:t>
      </w:r>
      <w:r w:rsidR="00A26C95">
        <w:rPr>
          <w:rFonts w:ascii="Times New Roman" w:hAnsi="Times New Roman" w:cs="Times New Roman"/>
          <w:sz w:val="24"/>
          <w:szCs w:val="24"/>
        </w:rPr>
        <w:t xml:space="preserve">, </w:t>
      </w:r>
      <w:r w:rsidR="00A26C95">
        <w:rPr>
          <w:rFonts w:ascii="Times New Roman" w:hAnsi="Times New Roman" w:cs="Times New Roman"/>
          <w:sz w:val="24"/>
          <w:szCs w:val="24"/>
        </w:rPr>
        <w:lastRenderedPageBreak/>
        <w:t>de modo tal que se armonicen los distintos derechos que entran en juego</w:t>
      </w:r>
      <w:r w:rsidR="00FE596B">
        <w:rPr>
          <w:rFonts w:ascii="Times New Roman" w:hAnsi="Times New Roman" w:cs="Times New Roman"/>
          <w:sz w:val="24"/>
          <w:szCs w:val="24"/>
        </w:rPr>
        <w:t xml:space="preserve">? </w:t>
      </w:r>
      <w:r w:rsidR="00793A35">
        <w:rPr>
          <w:rFonts w:ascii="Times New Roman" w:hAnsi="Times New Roman" w:cs="Times New Roman"/>
          <w:sz w:val="24"/>
          <w:szCs w:val="24"/>
        </w:rPr>
        <w:t>¿pueden estas instituciones exigir a sus integrantes una actuaci</w:t>
      </w:r>
      <w:r w:rsidR="00A26C95">
        <w:rPr>
          <w:rFonts w:ascii="Times New Roman" w:hAnsi="Times New Roman" w:cs="Times New Roman"/>
          <w:sz w:val="24"/>
          <w:szCs w:val="24"/>
        </w:rPr>
        <w:t>ón conforme con su ide</w:t>
      </w:r>
      <w:r w:rsidR="00793A35">
        <w:rPr>
          <w:rFonts w:ascii="Times New Roman" w:hAnsi="Times New Roman" w:cs="Times New Roman"/>
          <w:sz w:val="24"/>
          <w:szCs w:val="24"/>
        </w:rPr>
        <w:t>ario?</w:t>
      </w:r>
    </w:p>
    <w:p w:rsidR="0095132B" w:rsidRDefault="00FE596B" w:rsidP="003E338E">
      <w:pPr>
        <w:jc w:val="both"/>
        <w:rPr>
          <w:rFonts w:ascii="Times New Roman" w:hAnsi="Times New Roman" w:cs="Times New Roman"/>
          <w:sz w:val="24"/>
          <w:szCs w:val="24"/>
        </w:rPr>
      </w:pPr>
      <w:r>
        <w:rPr>
          <w:rFonts w:ascii="Times New Roman" w:hAnsi="Times New Roman" w:cs="Times New Roman"/>
          <w:sz w:val="24"/>
          <w:szCs w:val="24"/>
        </w:rPr>
        <w:t>Situaciones concretas planteadas en Estados Unidos</w:t>
      </w:r>
      <w:r w:rsidR="00A64874">
        <w:rPr>
          <w:rStyle w:val="Refdenotaalpie"/>
          <w:rFonts w:ascii="Times New Roman" w:hAnsi="Times New Roman" w:cs="Times New Roman"/>
          <w:sz w:val="24"/>
          <w:szCs w:val="24"/>
        </w:rPr>
        <w:footnoteReference w:id="2"/>
      </w:r>
      <w:r>
        <w:rPr>
          <w:rFonts w:ascii="Times New Roman" w:hAnsi="Times New Roman" w:cs="Times New Roman"/>
          <w:sz w:val="24"/>
          <w:szCs w:val="24"/>
        </w:rPr>
        <w:t xml:space="preserve">, </w:t>
      </w:r>
      <w:r w:rsidR="00793A35">
        <w:rPr>
          <w:rFonts w:ascii="Times New Roman" w:hAnsi="Times New Roman" w:cs="Times New Roman"/>
          <w:sz w:val="24"/>
          <w:szCs w:val="24"/>
        </w:rPr>
        <w:t>Canadá</w:t>
      </w:r>
      <w:r w:rsidR="00A26C95">
        <w:rPr>
          <w:rStyle w:val="Refdenotaalpie"/>
          <w:rFonts w:ascii="Times New Roman" w:hAnsi="Times New Roman" w:cs="Times New Roman"/>
          <w:sz w:val="24"/>
          <w:szCs w:val="24"/>
        </w:rPr>
        <w:footnoteReference w:id="3"/>
      </w:r>
      <w:r w:rsidR="00793A35">
        <w:rPr>
          <w:rFonts w:ascii="Times New Roman" w:hAnsi="Times New Roman" w:cs="Times New Roman"/>
          <w:sz w:val="24"/>
          <w:szCs w:val="24"/>
        </w:rPr>
        <w:t xml:space="preserve">, </w:t>
      </w:r>
      <w:r>
        <w:rPr>
          <w:rFonts w:ascii="Times New Roman" w:hAnsi="Times New Roman" w:cs="Times New Roman"/>
          <w:sz w:val="24"/>
          <w:szCs w:val="24"/>
        </w:rPr>
        <w:t>Colombia</w:t>
      </w:r>
      <w:r w:rsidR="00A26C95">
        <w:rPr>
          <w:rStyle w:val="Refdenotaalpie"/>
          <w:rFonts w:ascii="Times New Roman" w:hAnsi="Times New Roman" w:cs="Times New Roman"/>
          <w:sz w:val="24"/>
          <w:szCs w:val="24"/>
        </w:rPr>
        <w:footnoteReference w:id="4"/>
      </w:r>
      <w:r>
        <w:rPr>
          <w:rFonts w:ascii="Times New Roman" w:hAnsi="Times New Roman" w:cs="Times New Roman"/>
          <w:sz w:val="24"/>
          <w:szCs w:val="24"/>
        </w:rPr>
        <w:t>, Chile</w:t>
      </w:r>
      <w:r w:rsidR="00A64874">
        <w:rPr>
          <w:rStyle w:val="Refdenotaalpie"/>
          <w:rFonts w:ascii="Times New Roman" w:hAnsi="Times New Roman" w:cs="Times New Roman"/>
          <w:sz w:val="24"/>
          <w:szCs w:val="24"/>
        </w:rPr>
        <w:footnoteReference w:id="5"/>
      </w:r>
      <w:r>
        <w:rPr>
          <w:rFonts w:ascii="Times New Roman" w:hAnsi="Times New Roman" w:cs="Times New Roman"/>
          <w:sz w:val="24"/>
          <w:szCs w:val="24"/>
        </w:rPr>
        <w:t xml:space="preserve"> y España</w:t>
      </w:r>
      <w:r w:rsidR="00A64874">
        <w:rPr>
          <w:rStyle w:val="Refdenotaalpie"/>
          <w:rFonts w:ascii="Times New Roman" w:hAnsi="Times New Roman" w:cs="Times New Roman"/>
          <w:sz w:val="24"/>
          <w:szCs w:val="24"/>
        </w:rPr>
        <w:footnoteReference w:id="6"/>
      </w:r>
      <w:r>
        <w:rPr>
          <w:rFonts w:ascii="Times New Roman" w:hAnsi="Times New Roman" w:cs="Times New Roman"/>
          <w:sz w:val="24"/>
          <w:szCs w:val="24"/>
        </w:rPr>
        <w:t>, entre otros países, muestra que las preguntas formuladas lejos de ser hipótesis de laboratorios para hacer referencia a problemas reales y actuales.</w:t>
      </w:r>
    </w:p>
    <w:p w:rsidR="009A4A62" w:rsidRDefault="009A4A62" w:rsidP="003E338E">
      <w:pPr>
        <w:jc w:val="both"/>
        <w:rPr>
          <w:rFonts w:ascii="Times New Roman" w:hAnsi="Times New Roman" w:cs="Times New Roman"/>
          <w:sz w:val="24"/>
          <w:szCs w:val="24"/>
        </w:rPr>
      </w:pPr>
      <w:r>
        <w:rPr>
          <w:rFonts w:ascii="Times New Roman" w:hAnsi="Times New Roman" w:cs="Times New Roman"/>
          <w:sz w:val="24"/>
          <w:szCs w:val="24"/>
        </w:rPr>
        <w:t>Estructuraremos nuestra exposición en cinco partes:</w:t>
      </w:r>
    </w:p>
    <w:p w:rsidR="009A4A62" w:rsidRDefault="009A4A62" w:rsidP="009A4A62">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En primer lugar, analizaremos el concepto de ideario institucional;</w:t>
      </w:r>
    </w:p>
    <w:p w:rsidR="009A4A62" w:rsidRDefault="009A4A62" w:rsidP="009A4A62">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Luego caracterizaremos a estas instituciones como organizaciones de tendencia;</w:t>
      </w:r>
    </w:p>
    <w:p w:rsidR="009A4A62" w:rsidRDefault="009A4A62" w:rsidP="009A4A62">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En el tercer apartado señalaremos los derechos constitucional implicados en esta materia;</w:t>
      </w:r>
    </w:p>
    <w:p w:rsidR="009A4A62" w:rsidRDefault="009A4A62" w:rsidP="009A4A62">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Más adelante, veremos cómo la jurisprudencia de los tribunales nacionales e internacionales se está abriendo en los últimos años a esta realidad y las soluciones que ha brindado;</w:t>
      </w:r>
    </w:p>
    <w:p w:rsidR="009A4A62" w:rsidRPr="009A4A62" w:rsidRDefault="009A4A62" w:rsidP="009A4A62">
      <w:pPr>
        <w:pStyle w:val="Prrafodelista"/>
        <w:numPr>
          <w:ilvl w:val="0"/>
          <w:numId w:val="4"/>
        </w:numPr>
        <w:jc w:val="both"/>
        <w:rPr>
          <w:rFonts w:ascii="Times New Roman" w:hAnsi="Times New Roman" w:cs="Times New Roman"/>
          <w:sz w:val="24"/>
          <w:szCs w:val="24"/>
        </w:rPr>
      </w:pPr>
      <w:r>
        <w:rPr>
          <w:rFonts w:ascii="Times New Roman" w:hAnsi="Times New Roman" w:cs="Times New Roman"/>
          <w:sz w:val="24"/>
          <w:szCs w:val="24"/>
        </w:rPr>
        <w:t>Finalmente, extraeremos algunas conclusiones finales.</w:t>
      </w:r>
    </w:p>
    <w:p w:rsidR="009A4A62" w:rsidRPr="003E338E" w:rsidRDefault="00C52871" w:rsidP="003E338E">
      <w:pPr>
        <w:jc w:val="both"/>
        <w:rPr>
          <w:rFonts w:ascii="Times New Roman" w:hAnsi="Times New Roman" w:cs="Times New Roman"/>
          <w:sz w:val="24"/>
          <w:szCs w:val="24"/>
        </w:rPr>
      </w:pPr>
      <w:r>
        <w:rPr>
          <w:rFonts w:ascii="Times New Roman" w:hAnsi="Times New Roman" w:cs="Times New Roman"/>
          <w:sz w:val="24"/>
          <w:szCs w:val="24"/>
        </w:rPr>
        <w:lastRenderedPageBreak/>
        <w:t>En el tratamiento y resolución de las cuestiones planteadas acudiremos a principios jurídicos, normas constitucionales, legales y convencionales y jurisprudencia reciente de tribunales nacionales e internacionales.</w:t>
      </w:r>
    </w:p>
    <w:p w:rsidR="0095132B" w:rsidRPr="003E338E" w:rsidRDefault="00D65678" w:rsidP="002529BF">
      <w:pPr>
        <w:pStyle w:val="Ttulo1"/>
      </w:pPr>
      <w:bookmarkStart w:id="2" w:name="_Toc430959262"/>
      <w:r w:rsidRPr="003E338E">
        <w:rPr>
          <w:lang w:val="es-ES_tradnl"/>
        </w:rPr>
        <w:t>A) El ideario como expresión de la identidad, sentido y misión de las instituciones de inspiración religiosa</w:t>
      </w:r>
      <w:bookmarkEnd w:id="2"/>
    </w:p>
    <w:p w:rsidR="00C52871" w:rsidRPr="00C17FD8" w:rsidRDefault="00D65678" w:rsidP="00C52871">
      <w:pPr>
        <w:widowControl w:val="0"/>
        <w:suppressAutoHyphens/>
        <w:autoSpaceDE w:val="0"/>
        <w:spacing w:before="100" w:after="10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Las instituciones de inspiración religiosa (escuelas, universidades, hospitales, etc</w:t>
      </w:r>
      <w:r w:rsidR="002529BF">
        <w:rPr>
          <w:rFonts w:ascii="Times New Roman" w:hAnsi="Times New Roman" w:cs="Times New Roman"/>
          <w:sz w:val="24"/>
          <w:szCs w:val="24"/>
          <w:lang w:val="es-ES_tradnl"/>
        </w:rPr>
        <w:t>.</w:t>
      </w:r>
      <w:r>
        <w:rPr>
          <w:rFonts w:ascii="Times New Roman" w:hAnsi="Times New Roman" w:cs="Times New Roman"/>
          <w:sz w:val="24"/>
          <w:szCs w:val="24"/>
          <w:lang w:val="es-ES_tradnl"/>
        </w:rPr>
        <w:t>)</w:t>
      </w:r>
      <w:r w:rsidR="0095132B" w:rsidRPr="00C17FD8">
        <w:rPr>
          <w:rFonts w:ascii="Times New Roman" w:hAnsi="Times New Roman" w:cs="Times New Roman"/>
          <w:sz w:val="24"/>
          <w:szCs w:val="24"/>
          <w:lang w:val="es-ES_tradnl"/>
        </w:rPr>
        <w:t xml:space="preserve"> d</w:t>
      </w:r>
      <w:r>
        <w:rPr>
          <w:rFonts w:ascii="Times New Roman" w:hAnsi="Times New Roman" w:cs="Times New Roman"/>
          <w:sz w:val="24"/>
          <w:szCs w:val="24"/>
          <w:lang w:val="es-ES_tradnl"/>
        </w:rPr>
        <w:t>esarrollan su</w:t>
      </w:r>
      <w:r w:rsidR="00FE596B">
        <w:rPr>
          <w:rFonts w:ascii="Times New Roman" w:hAnsi="Times New Roman" w:cs="Times New Roman"/>
          <w:sz w:val="24"/>
          <w:szCs w:val="24"/>
          <w:lang w:val="es-ES_tradnl"/>
        </w:rPr>
        <w:t>s</w:t>
      </w:r>
      <w:r w:rsidR="0095132B" w:rsidRPr="00C17FD8">
        <w:rPr>
          <w:rFonts w:ascii="Times New Roman" w:hAnsi="Times New Roman" w:cs="Times New Roman"/>
          <w:sz w:val="24"/>
          <w:szCs w:val="24"/>
          <w:lang w:val="es-ES_tradnl"/>
        </w:rPr>
        <w:t xml:space="preserve"> fines propios de acu</w:t>
      </w:r>
      <w:r>
        <w:rPr>
          <w:rFonts w:ascii="Times New Roman" w:hAnsi="Times New Roman" w:cs="Times New Roman"/>
          <w:sz w:val="24"/>
          <w:szCs w:val="24"/>
          <w:lang w:val="es-ES_tradnl"/>
        </w:rPr>
        <w:t>erdo con</w:t>
      </w:r>
      <w:r w:rsidR="00FE596B">
        <w:rPr>
          <w:rFonts w:ascii="Times New Roman" w:hAnsi="Times New Roman" w:cs="Times New Roman"/>
          <w:sz w:val="24"/>
          <w:szCs w:val="24"/>
          <w:lang w:val="es-ES_tradnl"/>
        </w:rPr>
        <w:t xml:space="preserve"> su concepción</w:t>
      </w:r>
      <w:r w:rsidR="0095132B" w:rsidRPr="00C17FD8">
        <w:rPr>
          <w:rFonts w:ascii="Times New Roman" w:hAnsi="Times New Roman" w:cs="Times New Roman"/>
          <w:sz w:val="24"/>
          <w:szCs w:val="24"/>
          <w:lang w:val="es-ES_tradnl"/>
        </w:rPr>
        <w:t xml:space="preserve"> del homb</w:t>
      </w:r>
      <w:r>
        <w:rPr>
          <w:rFonts w:ascii="Times New Roman" w:hAnsi="Times New Roman" w:cs="Times New Roman"/>
          <w:sz w:val="24"/>
          <w:szCs w:val="24"/>
          <w:lang w:val="es-ES_tradnl"/>
        </w:rPr>
        <w:t>re, de la vida y de la sociedad que las inspira</w:t>
      </w:r>
      <w:r w:rsidR="00FE596B">
        <w:rPr>
          <w:rFonts w:ascii="Times New Roman" w:hAnsi="Times New Roman" w:cs="Times New Roman"/>
          <w:sz w:val="24"/>
          <w:szCs w:val="24"/>
          <w:lang w:val="es-ES_tradnl"/>
        </w:rPr>
        <w:t>.</w:t>
      </w:r>
      <w:r w:rsidR="00C52871">
        <w:rPr>
          <w:rFonts w:ascii="Times New Roman" w:hAnsi="Times New Roman" w:cs="Times New Roman"/>
          <w:sz w:val="24"/>
          <w:szCs w:val="24"/>
          <w:lang w:val="es-ES_tradnl"/>
        </w:rPr>
        <w:t xml:space="preserve"> </w:t>
      </w:r>
      <w:r w:rsidR="00C52871" w:rsidRPr="00C17FD8">
        <w:rPr>
          <w:rFonts w:ascii="Times New Roman" w:hAnsi="Times New Roman" w:cs="Times New Roman"/>
          <w:sz w:val="24"/>
          <w:szCs w:val="24"/>
          <w:lang w:val="es-ES_tradnl"/>
        </w:rPr>
        <w:t>No se tr</w:t>
      </w:r>
      <w:r w:rsidR="00C52871">
        <w:rPr>
          <w:rFonts w:ascii="Times New Roman" w:hAnsi="Times New Roman" w:cs="Times New Roman"/>
          <w:sz w:val="24"/>
          <w:szCs w:val="24"/>
          <w:lang w:val="es-ES_tradnl"/>
        </w:rPr>
        <w:t>ata de un proyecto social</w:t>
      </w:r>
      <w:r w:rsidR="00C52871" w:rsidRPr="00C17FD8">
        <w:rPr>
          <w:rFonts w:ascii="Times New Roman" w:hAnsi="Times New Roman" w:cs="Times New Roman"/>
          <w:sz w:val="24"/>
          <w:szCs w:val="24"/>
          <w:lang w:val="es-ES_tradnl"/>
        </w:rPr>
        <w:t xml:space="preserve"> sin más, sino</w:t>
      </w:r>
      <w:r w:rsidR="00C52871">
        <w:rPr>
          <w:rFonts w:ascii="Times New Roman" w:hAnsi="Times New Roman" w:cs="Times New Roman"/>
          <w:sz w:val="24"/>
          <w:szCs w:val="24"/>
          <w:lang w:val="es-ES_tradnl"/>
        </w:rPr>
        <w:t xml:space="preserve"> de instituciones </w:t>
      </w:r>
      <w:r w:rsidR="00C52871" w:rsidRPr="00C17FD8">
        <w:rPr>
          <w:rFonts w:ascii="Times New Roman" w:hAnsi="Times New Roman" w:cs="Times New Roman"/>
          <w:sz w:val="24"/>
          <w:szCs w:val="24"/>
          <w:lang w:val="es-ES_tradnl"/>
        </w:rPr>
        <w:t xml:space="preserve"> que desde su mismo origen y misión pretende</w:t>
      </w:r>
      <w:r w:rsidR="00C52871">
        <w:rPr>
          <w:rFonts w:ascii="Times New Roman" w:hAnsi="Times New Roman" w:cs="Times New Roman"/>
          <w:sz w:val="24"/>
          <w:szCs w:val="24"/>
          <w:lang w:val="es-ES_tradnl"/>
        </w:rPr>
        <w:t>n</w:t>
      </w:r>
      <w:r w:rsidR="00C52871" w:rsidRPr="00C17FD8">
        <w:rPr>
          <w:rFonts w:ascii="Times New Roman" w:hAnsi="Times New Roman" w:cs="Times New Roman"/>
          <w:sz w:val="24"/>
          <w:szCs w:val="24"/>
          <w:lang w:val="es-ES_tradnl"/>
        </w:rPr>
        <w:t xml:space="preserve"> i</w:t>
      </w:r>
      <w:r w:rsidR="00C52871">
        <w:rPr>
          <w:rFonts w:ascii="Times New Roman" w:hAnsi="Times New Roman" w:cs="Times New Roman"/>
          <w:sz w:val="24"/>
          <w:szCs w:val="24"/>
          <w:lang w:val="es-ES_tradnl"/>
        </w:rPr>
        <w:t>mpregnar todas sus actividades</w:t>
      </w:r>
      <w:r w:rsidR="00C52871" w:rsidRPr="00C17FD8">
        <w:rPr>
          <w:rFonts w:ascii="Times New Roman" w:hAnsi="Times New Roman" w:cs="Times New Roman"/>
          <w:sz w:val="24"/>
          <w:szCs w:val="24"/>
          <w:lang w:val="es-ES_tradnl"/>
        </w:rPr>
        <w:t xml:space="preserve"> </w:t>
      </w:r>
      <w:r w:rsidR="00C52871">
        <w:rPr>
          <w:rFonts w:ascii="Times New Roman" w:hAnsi="Times New Roman" w:cs="Times New Roman"/>
          <w:sz w:val="24"/>
          <w:szCs w:val="24"/>
          <w:lang w:val="es-ES_tradnl"/>
        </w:rPr>
        <w:t>con</w:t>
      </w:r>
      <w:r w:rsidR="00C52871" w:rsidRPr="00C17FD8">
        <w:rPr>
          <w:rFonts w:ascii="Times New Roman" w:hAnsi="Times New Roman" w:cs="Times New Roman"/>
          <w:sz w:val="24"/>
          <w:szCs w:val="24"/>
          <w:lang w:val="es-ES_tradnl"/>
        </w:rPr>
        <w:t xml:space="preserve"> esos valores. Esa identidad, lejos de ser algo secreto, oculto, interno o reservado, adquiere u</w:t>
      </w:r>
      <w:r w:rsidR="00C52871">
        <w:rPr>
          <w:rFonts w:ascii="Times New Roman" w:hAnsi="Times New Roman" w:cs="Times New Roman"/>
          <w:sz w:val="24"/>
          <w:szCs w:val="24"/>
          <w:lang w:val="es-ES_tradnl"/>
        </w:rPr>
        <w:t xml:space="preserve">n carácter público y manifiesto, que se busca transmitir y comunicar tanto hacia dentro como hacia fuera de la institución. </w:t>
      </w:r>
    </w:p>
    <w:p w:rsidR="00C52871" w:rsidRDefault="0095132B" w:rsidP="0095132B">
      <w:pPr>
        <w:widowControl w:val="0"/>
        <w:suppressAutoHyphens/>
        <w:autoSpaceDE w:val="0"/>
        <w:spacing w:before="100" w:after="100" w:line="240" w:lineRule="auto"/>
        <w:jc w:val="both"/>
        <w:rPr>
          <w:rFonts w:ascii="Times New Roman" w:hAnsi="Times New Roman" w:cs="Times New Roman"/>
          <w:sz w:val="24"/>
          <w:szCs w:val="24"/>
          <w:lang w:val="es-ES_tradnl"/>
        </w:rPr>
      </w:pPr>
      <w:r w:rsidRPr="00C17FD8">
        <w:rPr>
          <w:rFonts w:ascii="Times New Roman" w:hAnsi="Times New Roman" w:cs="Times New Roman"/>
          <w:sz w:val="24"/>
          <w:szCs w:val="24"/>
          <w:lang w:val="es-ES_tradnl"/>
        </w:rPr>
        <w:t xml:space="preserve">Esa concepción y los valores que ella es portadora suele estar expresado en un documento </w:t>
      </w:r>
      <w:r w:rsidR="00FE596B">
        <w:rPr>
          <w:rFonts w:ascii="Times New Roman" w:hAnsi="Times New Roman" w:cs="Times New Roman"/>
          <w:sz w:val="24"/>
          <w:szCs w:val="24"/>
          <w:lang w:val="es-ES_tradnl"/>
        </w:rPr>
        <w:t xml:space="preserve">o ideario que plasma, expresa, </w:t>
      </w:r>
      <w:r w:rsidRPr="00C17FD8">
        <w:rPr>
          <w:rFonts w:ascii="Times New Roman" w:hAnsi="Times New Roman" w:cs="Times New Roman"/>
          <w:sz w:val="24"/>
          <w:szCs w:val="24"/>
          <w:lang w:val="es-ES_tradnl"/>
        </w:rPr>
        <w:t>comunica</w:t>
      </w:r>
      <w:r w:rsidR="00FE596B">
        <w:rPr>
          <w:rFonts w:ascii="Times New Roman" w:hAnsi="Times New Roman" w:cs="Times New Roman"/>
          <w:sz w:val="24"/>
          <w:szCs w:val="24"/>
          <w:lang w:val="es-ES_tradnl"/>
        </w:rPr>
        <w:t xml:space="preserve"> y transmite</w:t>
      </w:r>
      <w:r w:rsidRPr="00C17FD8">
        <w:rPr>
          <w:rFonts w:ascii="Times New Roman" w:hAnsi="Times New Roman" w:cs="Times New Roman"/>
          <w:sz w:val="24"/>
          <w:szCs w:val="24"/>
          <w:lang w:val="es-ES_tradnl"/>
        </w:rPr>
        <w:t xml:space="preserve"> los valores que dan identidad y sentido a </w:t>
      </w:r>
      <w:r>
        <w:rPr>
          <w:rFonts w:ascii="Times New Roman" w:hAnsi="Times New Roman" w:cs="Times New Roman"/>
          <w:sz w:val="24"/>
          <w:szCs w:val="24"/>
          <w:lang w:val="es-ES_tradnl"/>
        </w:rPr>
        <w:t xml:space="preserve">la existencia y actividad de </w:t>
      </w:r>
      <w:r w:rsidRPr="00C17FD8">
        <w:rPr>
          <w:rFonts w:ascii="Times New Roman" w:hAnsi="Times New Roman" w:cs="Times New Roman"/>
          <w:sz w:val="24"/>
          <w:szCs w:val="24"/>
          <w:lang w:val="es-ES_tradnl"/>
        </w:rPr>
        <w:t xml:space="preserve">esa </w:t>
      </w:r>
      <w:r>
        <w:rPr>
          <w:rFonts w:ascii="Times New Roman" w:hAnsi="Times New Roman" w:cs="Times New Roman"/>
          <w:sz w:val="24"/>
          <w:szCs w:val="24"/>
          <w:lang w:val="es-ES_tradnl"/>
        </w:rPr>
        <w:t>entidad</w:t>
      </w:r>
      <w:r w:rsidRPr="00C17FD8">
        <w:rPr>
          <w:rFonts w:ascii="Times New Roman" w:hAnsi="Times New Roman" w:cs="Times New Roman"/>
          <w:sz w:val="24"/>
          <w:szCs w:val="24"/>
          <w:lang w:val="es-ES_tradnl"/>
        </w:rPr>
        <w:t>.</w:t>
      </w:r>
    </w:p>
    <w:p w:rsidR="00A403DB" w:rsidRDefault="00C52871" w:rsidP="0095132B">
      <w:pPr>
        <w:widowControl w:val="0"/>
        <w:suppressAutoHyphens/>
        <w:autoSpaceDE w:val="0"/>
        <w:spacing w:before="100" w:after="100" w:line="240" w:lineRule="auto"/>
        <w:jc w:val="both"/>
        <w:rPr>
          <w:rFonts w:ascii="Times New Roman" w:hAnsi="Times New Roman" w:cs="Times New Roman"/>
          <w:sz w:val="24"/>
          <w:szCs w:val="24"/>
          <w:lang w:val="es-ES_tradnl"/>
        </w:rPr>
      </w:pPr>
      <w:r w:rsidRPr="00C17FD8">
        <w:rPr>
          <w:rFonts w:ascii="Times New Roman" w:hAnsi="Times New Roman" w:cs="Times New Roman"/>
          <w:sz w:val="24"/>
          <w:szCs w:val="24"/>
          <w:lang w:val="es-ES_tradnl"/>
        </w:rPr>
        <w:t xml:space="preserve"> </w:t>
      </w:r>
      <w:r w:rsidR="0095132B" w:rsidRPr="00C17FD8">
        <w:rPr>
          <w:rFonts w:ascii="Times New Roman" w:hAnsi="Times New Roman" w:cs="Times New Roman"/>
          <w:sz w:val="24"/>
          <w:szCs w:val="24"/>
          <w:lang w:val="es-ES_tradnl"/>
        </w:rPr>
        <w:t>La afirmación de esta identidad institucional es un bien, un valor importantísimo que p</w:t>
      </w:r>
      <w:r w:rsidR="002529BF">
        <w:rPr>
          <w:rFonts w:ascii="Times New Roman" w:hAnsi="Times New Roman" w:cs="Times New Roman"/>
          <w:sz w:val="24"/>
          <w:szCs w:val="24"/>
          <w:lang w:val="es-ES_tradnl"/>
        </w:rPr>
        <w:t>otencia los fines sociales propios de esa organización  y da</w:t>
      </w:r>
      <w:r w:rsidR="0095132B" w:rsidRPr="00C17FD8">
        <w:rPr>
          <w:rFonts w:ascii="Times New Roman" w:hAnsi="Times New Roman" w:cs="Times New Roman"/>
          <w:sz w:val="24"/>
          <w:szCs w:val="24"/>
          <w:lang w:val="es-ES_tradnl"/>
        </w:rPr>
        <w:t xml:space="preserve"> unidad y coherencia a</w:t>
      </w:r>
      <w:r w:rsidR="002529BF">
        <w:rPr>
          <w:rFonts w:ascii="Times New Roman" w:hAnsi="Times New Roman" w:cs="Times New Roman"/>
          <w:sz w:val="24"/>
          <w:szCs w:val="24"/>
          <w:lang w:val="es-ES_tradnl"/>
        </w:rPr>
        <w:t xml:space="preserve"> sus actividades</w:t>
      </w:r>
      <w:r w:rsidR="0095132B" w:rsidRPr="00C17FD8">
        <w:rPr>
          <w:rFonts w:ascii="Times New Roman" w:hAnsi="Times New Roman" w:cs="Times New Roman"/>
          <w:sz w:val="24"/>
          <w:szCs w:val="24"/>
          <w:lang w:val="es-ES_tradnl"/>
        </w:rPr>
        <w:t>. Lejos de ser una limitación, es una for</w:t>
      </w:r>
      <w:r w:rsidR="0095132B">
        <w:rPr>
          <w:rFonts w:ascii="Times New Roman" w:hAnsi="Times New Roman" w:cs="Times New Roman"/>
          <w:sz w:val="24"/>
          <w:szCs w:val="24"/>
          <w:lang w:val="es-ES_tradnl"/>
        </w:rPr>
        <w:t xml:space="preserve">taleza para estas instituciones. Así como una persona se enriquece cuando formula su </w:t>
      </w:r>
      <w:r w:rsidR="0095132B" w:rsidRPr="00C17FD8">
        <w:rPr>
          <w:rFonts w:ascii="Times New Roman" w:hAnsi="Times New Roman" w:cs="Times New Roman"/>
          <w:sz w:val="24"/>
          <w:szCs w:val="24"/>
          <w:lang w:val="es-ES_tradnl"/>
        </w:rPr>
        <w:t xml:space="preserve">proyecto de vida y unos </w:t>
      </w:r>
      <w:r w:rsidR="0095132B">
        <w:rPr>
          <w:rFonts w:ascii="Times New Roman" w:hAnsi="Times New Roman" w:cs="Times New Roman"/>
          <w:sz w:val="24"/>
          <w:szCs w:val="24"/>
          <w:lang w:val="es-ES_tradnl"/>
        </w:rPr>
        <w:t>principios por los que regir su conducta, del mismo modo una institución adquiere madurez y coherencia cuando postula sus fines y valores institucionales que la han de guiar.</w:t>
      </w:r>
      <w:r w:rsidR="0095132B" w:rsidRPr="00C17FD8">
        <w:rPr>
          <w:rFonts w:ascii="Times New Roman" w:hAnsi="Times New Roman" w:cs="Times New Roman"/>
          <w:sz w:val="24"/>
          <w:szCs w:val="24"/>
          <w:lang w:val="es-ES_tradnl"/>
        </w:rPr>
        <w:t xml:space="preserve"> Lógicamente</w:t>
      </w:r>
      <w:r w:rsidR="0095132B">
        <w:rPr>
          <w:rFonts w:ascii="Times New Roman" w:hAnsi="Times New Roman" w:cs="Times New Roman"/>
          <w:sz w:val="24"/>
          <w:szCs w:val="24"/>
          <w:lang w:val="es-ES_tradnl"/>
        </w:rPr>
        <w:t xml:space="preserve"> que la calidad del ideario</w:t>
      </w:r>
      <w:r w:rsidR="0095132B" w:rsidRPr="00C17FD8">
        <w:rPr>
          <w:rFonts w:ascii="Times New Roman" w:hAnsi="Times New Roman" w:cs="Times New Roman"/>
          <w:sz w:val="24"/>
          <w:szCs w:val="24"/>
          <w:lang w:val="es-ES_tradnl"/>
        </w:rPr>
        <w:t xml:space="preserve"> dependerá de s</w:t>
      </w:r>
      <w:r w:rsidR="0095132B">
        <w:rPr>
          <w:rFonts w:ascii="Times New Roman" w:hAnsi="Times New Roman" w:cs="Times New Roman"/>
          <w:sz w:val="24"/>
          <w:szCs w:val="24"/>
          <w:lang w:val="es-ES_tradnl"/>
        </w:rPr>
        <w:t>u contenido y corresponde reconocer que</w:t>
      </w:r>
      <w:r w:rsidR="002529BF">
        <w:rPr>
          <w:rFonts w:ascii="Times New Roman" w:hAnsi="Times New Roman" w:cs="Times New Roman"/>
          <w:sz w:val="24"/>
          <w:szCs w:val="24"/>
          <w:lang w:val="es-ES_tradnl"/>
        </w:rPr>
        <w:t xml:space="preserve"> la gran mayoría de los valores religiosos</w:t>
      </w:r>
      <w:r w:rsidR="0095132B">
        <w:rPr>
          <w:rFonts w:ascii="Times New Roman" w:hAnsi="Times New Roman" w:cs="Times New Roman"/>
          <w:sz w:val="24"/>
          <w:szCs w:val="24"/>
          <w:lang w:val="es-ES_tradnl"/>
        </w:rPr>
        <w:t>, aun desde una perspectiva exclusivamente humana,</w:t>
      </w:r>
      <w:r w:rsidR="0095132B" w:rsidRPr="00C17FD8">
        <w:rPr>
          <w:rFonts w:ascii="Times New Roman" w:hAnsi="Times New Roman" w:cs="Times New Roman"/>
          <w:sz w:val="24"/>
          <w:szCs w:val="24"/>
          <w:lang w:val="es-ES_tradnl"/>
        </w:rPr>
        <w:t xml:space="preserve"> son sumamente valiosos.</w:t>
      </w:r>
      <w:r w:rsidR="0095132B">
        <w:rPr>
          <w:rFonts w:ascii="Times New Roman" w:hAnsi="Times New Roman" w:cs="Times New Roman"/>
          <w:sz w:val="24"/>
          <w:szCs w:val="24"/>
          <w:lang w:val="es-ES_tradnl"/>
        </w:rPr>
        <w:t xml:space="preserve"> </w:t>
      </w:r>
    </w:p>
    <w:p w:rsidR="0095132B" w:rsidRPr="00C17FD8" w:rsidRDefault="0095132B" w:rsidP="0095132B">
      <w:pPr>
        <w:widowControl w:val="0"/>
        <w:suppressAutoHyphens/>
        <w:autoSpaceDE w:val="0"/>
        <w:spacing w:before="100" w:after="100" w:line="240" w:lineRule="auto"/>
        <w:jc w:val="both"/>
        <w:rPr>
          <w:rFonts w:ascii="Times New Roman" w:hAnsi="Times New Roman" w:cs="Times New Roman"/>
          <w:sz w:val="24"/>
          <w:szCs w:val="24"/>
          <w:lang w:val="es-ES_tradnl"/>
        </w:rPr>
      </w:pPr>
      <w:r w:rsidRPr="00C17FD8">
        <w:rPr>
          <w:rFonts w:ascii="Times New Roman" w:hAnsi="Times New Roman" w:cs="Times New Roman"/>
          <w:sz w:val="24"/>
          <w:szCs w:val="24"/>
          <w:lang w:val="es-ES_tradnl"/>
        </w:rPr>
        <w:t>El documento que contiene el ideario, junto a su valor simbólico y formativo, tiene inevitables  virtualidades jurídicas que deben ser reconocidos por todos los actores jurídicos, tanto dentro como fuera de la institución.</w:t>
      </w:r>
    </w:p>
    <w:p w:rsidR="0095132B" w:rsidRPr="002529BF" w:rsidRDefault="0095132B" w:rsidP="002529BF">
      <w:pPr>
        <w:pStyle w:val="Ttulo1"/>
      </w:pPr>
      <w:bookmarkStart w:id="3" w:name="_Toc393896808"/>
      <w:bookmarkStart w:id="4" w:name="_Toc418765018"/>
      <w:bookmarkStart w:id="5" w:name="_Toc430959263"/>
      <w:r w:rsidRPr="002529BF">
        <w:t xml:space="preserve">B) </w:t>
      </w:r>
      <w:r w:rsidR="007641FE">
        <w:t>Las instituciones</w:t>
      </w:r>
      <w:r w:rsidRPr="002529BF">
        <w:t xml:space="preserve"> con ideario</w:t>
      </w:r>
      <w:r w:rsidR="00C52871">
        <w:t xml:space="preserve"> religioso</w:t>
      </w:r>
      <w:r w:rsidRPr="002529BF">
        <w:t xml:space="preserve"> como organizaciones de tendencia</w:t>
      </w:r>
      <w:bookmarkEnd w:id="3"/>
      <w:bookmarkEnd w:id="4"/>
      <w:bookmarkEnd w:id="5"/>
    </w:p>
    <w:p w:rsidR="0095132B" w:rsidRPr="007641FE" w:rsidRDefault="0095132B" w:rsidP="0095132B">
      <w:pPr>
        <w:widowControl w:val="0"/>
        <w:suppressAutoHyphens/>
        <w:autoSpaceDE w:val="0"/>
        <w:spacing w:before="100" w:after="100" w:line="240" w:lineRule="auto"/>
        <w:jc w:val="both"/>
        <w:rPr>
          <w:sz w:val="24"/>
          <w:szCs w:val="24"/>
        </w:rPr>
      </w:pPr>
    </w:p>
    <w:p w:rsidR="0095132B" w:rsidRDefault="0088392D" w:rsidP="0095132B">
      <w:pPr>
        <w:widowControl w:val="0"/>
        <w:suppressAutoHyphens/>
        <w:autoSpaceDE w:val="0"/>
        <w:spacing w:before="100" w:after="10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La formulación pública de su</w:t>
      </w:r>
      <w:r w:rsidR="0095132B" w:rsidRPr="00C17FD8">
        <w:rPr>
          <w:rFonts w:ascii="Times New Roman" w:hAnsi="Times New Roman" w:cs="Times New Roman"/>
          <w:sz w:val="24"/>
          <w:szCs w:val="24"/>
          <w:lang w:val="es-ES_tradnl"/>
        </w:rPr>
        <w:t xml:space="preserve"> idear</w:t>
      </w:r>
      <w:r w:rsidR="00D65678">
        <w:rPr>
          <w:rFonts w:ascii="Times New Roman" w:hAnsi="Times New Roman" w:cs="Times New Roman"/>
          <w:sz w:val="24"/>
          <w:szCs w:val="24"/>
          <w:lang w:val="es-ES_tradnl"/>
        </w:rPr>
        <w:t>io configura a estas</w:t>
      </w:r>
      <w:r w:rsidR="0095132B" w:rsidRPr="00C17FD8">
        <w:rPr>
          <w:rFonts w:ascii="Times New Roman" w:hAnsi="Times New Roman" w:cs="Times New Roman"/>
          <w:sz w:val="24"/>
          <w:szCs w:val="24"/>
          <w:lang w:val="es-ES_tradnl"/>
        </w:rPr>
        <w:t xml:space="preserve"> instituciones en lo que se ha dado en llamar </w:t>
      </w:r>
      <w:r w:rsidR="0095132B">
        <w:rPr>
          <w:rFonts w:ascii="Times New Roman" w:hAnsi="Times New Roman" w:cs="Times New Roman"/>
          <w:sz w:val="24"/>
          <w:szCs w:val="24"/>
          <w:lang w:val="es-ES_tradnl"/>
        </w:rPr>
        <w:t>en el derecho comparado como “</w:t>
      </w:r>
      <w:r w:rsidR="0095132B" w:rsidRPr="00C17FD8">
        <w:rPr>
          <w:rFonts w:ascii="Times New Roman" w:hAnsi="Times New Roman" w:cs="Times New Roman"/>
          <w:sz w:val="24"/>
          <w:szCs w:val="24"/>
          <w:lang w:val="es-ES_tradnl"/>
        </w:rPr>
        <w:t>empresas o instituciones de tendencia</w:t>
      </w:r>
      <w:r w:rsidR="0095132B">
        <w:rPr>
          <w:rFonts w:ascii="Times New Roman" w:hAnsi="Times New Roman" w:cs="Times New Roman"/>
          <w:sz w:val="24"/>
          <w:szCs w:val="24"/>
          <w:lang w:val="es-ES_tradnl"/>
        </w:rPr>
        <w:t>”</w:t>
      </w:r>
      <w:r w:rsidR="0095132B" w:rsidRPr="00C17FD8">
        <w:rPr>
          <w:rFonts w:ascii="Times New Roman" w:hAnsi="Times New Roman" w:cs="Times New Roman"/>
          <w:sz w:val="24"/>
          <w:szCs w:val="24"/>
          <w:lang w:val="es-ES_tradnl"/>
        </w:rPr>
        <w:t xml:space="preserve">. Estas entidades se caracterizan no sólo por tener un ideario sino por estar orientadas a su promoción y difusión. Son instituciones de tendencia los partidos políticos, las confesiones religiosas, determinadas </w:t>
      </w:r>
      <w:r w:rsidR="0095132B">
        <w:rPr>
          <w:rFonts w:ascii="Times New Roman" w:hAnsi="Times New Roman" w:cs="Times New Roman"/>
          <w:sz w:val="24"/>
          <w:szCs w:val="24"/>
          <w:lang w:val="es-ES_tradnl"/>
        </w:rPr>
        <w:t>ONGs</w:t>
      </w:r>
      <w:r w:rsidR="0095132B" w:rsidRPr="00C17FD8">
        <w:rPr>
          <w:rFonts w:ascii="Times New Roman" w:hAnsi="Times New Roman" w:cs="Times New Roman"/>
          <w:sz w:val="24"/>
          <w:szCs w:val="24"/>
          <w:lang w:val="es-ES_tradnl"/>
        </w:rPr>
        <w:t xml:space="preserve"> o “think tank”, algunos medios de comunicación nacidos con la clara y expresa función de promocionar determinados valores y doctrinas, las instituciones educativas de distinto nivel que han adoptado un determinado ideario que define su identidad y misión, etc. La existencia de entidades de tendencia es muestra del pluralismo social y de la riqueza y diversidad que debe caracterizar a las actuales sociedades democráticas. </w:t>
      </w:r>
    </w:p>
    <w:p w:rsidR="0095132B" w:rsidRPr="00CD531F" w:rsidRDefault="0095132B" w:rsidP="0095132B">
      <w:pPr>
        <w:widowControl w:val="0"/>
        <w:suppressAutoHyphens/>
        <w:autoSpaceDE w:val="0"/>
        <w:spacing w:before="100" w:after="10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Se ha señalado que las organizaciones de tendencia son aquellas “encaminadas a la consecución de finalidades políticas, sindicales, confesionales, caritativas, educativas, científicas, artísticas y similares, y, presuponen la adhesión a una particular ideología o concepción del mundo llamada genéricamente ´tendencia´ por parte del trabajador de ella dependiente”</w:t>
      </w:r>
      <w:r>
        <w:rPr>
          <w:rStyle w:val="Refdenotaalpie"/>
          <w:rFonts w:ascii="Times New Roman" w:hAnsi="Times New Roman" w:cs="Times New Roman"/>
          <w:sz w:val="24"/>
          <w:szCs w:val="24"/>
          <w:lang w:val="es-ES_tradnl"/>
        </w:rPr>
        <w:footnoteReference w:id="7"/>
      </w:r>
      <w:r>
        <w:rPr>
          <w:rFonts w:ascii="Times New Roman" w:hAnsi="Times New Roman" w:cs="Times New Roman"/>
          <w:sz w:val="24"/>
          <w:szCs w:val="24"/>
          <w:lang w:val="es-ES_tradnl"/>
        </w:rPr>
        <w:t>. Esta categoría, originada en el derecho alemán, se ha ido expandiendo a otros países como Italia, España, Japón, etc.</w:t>
      </w:r>
    </w:p>
    <w:p w:rsidR="00A403DB" w:rsidRPr="00CD531F" w:rsidRDefault="0095132B" w:rsidP="0095132B">
      <w:pPr>
        <w:widowControl w:val="0"/>
        <w:suppressAutoHyphens/>
        <w:autoSpaceDE w:val="0"/>
        <w:spacing w:before="100" w:after="100" w:line="240" w:lineRule="auto"/>
        <w:jc w:val="both"/>
        <w:rPr>
          <w:rFonts w:ascii="Times New Roman" w:eastAsia="Times New Roman" w:hAnsi="Times New Roman" w:cs="Times New Roman"/>
          <w:sz w:val="24"/>
          <w:szCs w:val="24"/>
        </w:rPr>
      </w:pPr>
      <w:r w:rsidRPr="00CD531F">
        <w:rPr>
          <w:rFonts w:ascii="Times New Roman" w:hAnsi="Times New Roman" w:cs="Times New Roman"/>
          <w:sz w:val="24"/>
          <w:szCs w:val="24"/>
          <w:lang w:val="es-ES_tradnl"/>
        </w:rPr>
        <w:t xml:space="preserve">El orden jurídico ha comenzado a considerar y tener en cuenta la existencia de estas organizaciones de tendencia, reconociendo un tratamiento diferenciado en determinada cuestiones. Entre otros muchos  ejemplos, se puede mencionar </w:t>
      </w:r>
      <w:r w:rsidRPr="00CD531F">
        <w:rPr>
          <w:rFonts w:ascii="Times New Roman" w:eastAsia="Times New Roman" w:hAnsi="Times New Roman" w:cs="Times New Roman"/>
          <w:sz w:val="24"/>
          <w:szCs w:val="24"/>
        </w:rPr>
        <w:t>la legislación laboral alemana</w:t>
      </w:r>
      <w:r w:rsidRPr="00CD531F">
        <w:rPr>
          <w:rStyle w:val="nfasis"/>
          <w:rFonts w:ascii="Times New Roman" w:eastAsia="Times New Roman" w:hAnsi="Times New Roman" w:cs="Times New Roman"/>
          <w:sz w:val="24"/>
          <w:szCs w:val="24"/>
        </w:rPr>
        <w:t> (Betriebsverfassungsgesetz)</w:t>
      </w:r>
      <w:r w:rsidR="00CD531F">
        <w:rPr>
          <w:rFonts w:ascii="Times New Roman" w:eastAsia="Times New Roman" w:hAnsi="Times New Roman" w:cs="Times New Roman"/>
          <w:sz w:val="24"/>
          <w:szCs w:val="24"/>
        </w:rPr>
        <w:t> que contempla un régimen</w:t>
      </w:r>
      <w:r w:rsidRPr="00CD531F">
        <w:rPr>
          <w:rFonts w:ascii="Times New Roman" w:eastAsia="Times New Roman" w:hAnsi="Times New Roman" w:cs="Times New Roman"/>
          <w:sz w:val="24"/>
          <w:szCs w:val="24"/>
        </w:rPr>
        <w:t xml:space="preserve"> especial para lo que denomina "empresas de tendencia y confesionales". Fundamentalmente, la ley ampara a todo tipo de instituciones que, además de perseguir sus propios fines, actúen bajo un determinado marco religioso, ético e incluso político. </w:t>
      </w:r>
    </w:p>
    <w:p w:rsidR="007641FE" w:rsidRDefault="007641FE" w:rsidP="0095132B">
      <w:pPr>
        <w:widowControl w:val="0"/>
        <w:suppressAutoHyphens/>
        <w:autoSpaceDE w:val="0"/>
        <w:spacing w:before="100" w:after="100" w:line="240" w:lineRule="auto"/>
        <w:jc w:val="both"/>
        <w:rPr>
          <w:rFonts w:ascii="Georgia" w:eastAsia="Times New Roman" w:hAnsi="Georgia" w:cs="Arial"/>
        </w:rPr>
      </w:pPr>
    </w:p>
    <w:p w:rsidR="00A403DB" w:rsidRDefault="0095132B" w:rsidP="0095132B">
      <w:pPr>
        <w:widowControl w:val="0"/>
        <w:suppressAutoHyphens/>
        <w:autoSpaceDE w:val="0"/>
        <w:spacing w:before="100" w:after="100" w:line="240" w:lineRule="auto"/>
        <w:jc w:val="both"/>
        <w:rPr>
          <w:rFonts w:ascii="Times New Roman" w:hAnsi="Times New Roman" w:cs="Times New Roman"/>
          <w:sz w:val="24"/>
          <w:szCs w:val="24"/>
          <w:lang w:val="es-ES_tradnl"/>
        </w:rPr>
      </w:pPr>
      <w:r>
        <w:rPr>
          <w:rFonts w:ascii="Georgia" w:eastAsia="Times New Roman" w:hAnsi="Georgia" w:cs="Arial"/>
        </w:rPr>
        <w:t xml:space="preserve">También </w:t>
      </w:r>
      <w:r w:rsidR="00034C97">
        <w:rPr>
          <w:rFonts w:ascii="Times New Roman" w:hAnsi="Times New Roman" w:cs="Times New Roman"/>
          <w:sz w:val="24"/>
          <w:szCs w:val="24"/>
          <w:lang w:val="es-ES_tradnl"/>
        </w:rPr>
        <w:t xml:space="preserve">el art. 6 del Reglamento delegado </w:t>
      </w:r>
      <w:r>
        <w:rPr>
          <w:rFonts w:ascii="Times New Roman" w:hAnsi="Times New Roman" w:cs="Times New Roman"/>
          <w:sz w:val="24"/>
          <w:szCs w:val="24"/>
          <w:lang w:val="es-ES_tradnl"/>
        </w:rPr>
        <w:t xml:space="preserve">del gobierno español del 8 de febrero de 1984 que establece: “Las iglesias, confesiones y comunidades religiosas inscriptas tendrán plena autonomía y podrán establecer sus propias normas de organización régimen interno y régimen de su personal. En dichas normas, así como en las que  regulan las instituciones creadas para la realización de sus fines podrán incluir cláusulas de salvaguarda de su identidad religiosa y carácter propio así como el debido respeto a sus creencias sin perjuicio del debido respeto de los derechos y libertades reconocidos en la Constitución, en especial los de libertad, igualdad y no discriminación”. También el art. 6 de la ley orgánica de establecimiento de centros educativos de España dispone  que “se reconoce a los titulares de centros privados el derecho a establecer el un ideario educativo propio dentro del respetos a los principios y declaraciones de la Constitución”. </w:t>
      </w:r>
    </w:p>
    <w:p w:rsidR="00D66530" w:rsidRPr="00D66530" w:rsidRDefault="0095132B" w:rsidP="00D66530">
      <w:pPr>
        <w:spacing w:line="240" w:lineRule="auto"/>
        <w:jc w:val="both"/>
        <w:rPr>
          <w:rFonts w:ascii="Times New Roman" w:hAnsi="Times New Roman" w:cs="Times New Roman"/>
          <w:sz w:val="24"/>
          <w:szCs w:val="24"/>
        </w:rPr>
      </w:pPr>
      <w:r w:rsidRPr="00D66530">
        <w:rPr>
          <w:rFonts w:ascii="Times New Roman" w:hAnsi="Times New Roman" w:cs="Times New Roman"/>
          <w:sz w:val="24"/>
          <w:szCs w:val="24"/>
          <w:lang w:val="es-ES_tradnl"/>
        </w:rPr>
        <w:t>Por su parte, el art. 9 de la ley argentina 25.673 de 2002 que establece el programa nacional de salud reproductiva  señala que “las instituciones educativas públicas de gestión privada, confesionales o no, darán cumplimiento a la presente norma en el marco de sus convicciones”</w:t>
      </w:r>
      <w:r w:rsidRPr="00D66530">
        <w:rPr>
          <w:rStyle w:val="Refdenotaalpie"/>
          <w:rFonts w:ascii="Times New Roman" w:hAnsi="Times New Roman" w:cs="Times New Roman"/>
          <w:sz w:val="24"/>
          <w:szCs w:val="24"/>
          <w:lang w:val="es-ES_tradnl"/>
        </w:rPr>
        <w:footnoteReference w:id="8"/>
      </w:r>
      <w:r w:rsidRPr="00D66530">
        <w:rPr>
          <w:rFonts w:ascii="Times New Roman" w:hAnsi="Times New Roman" w:cs="Times New Roman"/>
          <w:sz w:val="24"/>
          <w:szCs w:val="24"/>
          <w:lang w:val="es-ES_tradnl"/>
        </w:rPr>
        <w:t>.</w:t>
      </w:r>
      <w:r w:rsidR="00D66530" w:rsidRPr="00D66530">
        <w:rPr>
          <w:rFonts w:ascii="Times New Roman" w:hAnsi="Times New Roman" w:cs="Times New Roman"/>
          <w:sz w:val="24"/>
          <w:szCs w:val="24"/>
          <w:lang w:val="es-ES_tradnl"/>
        </w:rPr>
        <w:t xml:space="preserve"> También la ley 26.150 de educación sexual señala en su art. 5: </w:t>
      </w:r>
      <w:r w:rsidR="00D66530">
        <w:rPr>
          <w:rFonts w:ascii="Times New Roman" w:hAnsi="Times New Roman" w:cs="Times New Roman"/>
          <w:sz w:val="24"/>
          <w:szCs w:val="24"/>
          <w:lang w:val="es-ES_tradnl"/>
        </w:rPr>
        <w:t>“</w:t>
      </w:r>
      <w:r w:rsidR="00CD531F">
        <w:rPr>
          <w:rFonts w:ascii="Times New Roman" w:hAnsi="Times New Roman" w:cs="Times New Roman"/>
          <w:sz w:val="24"/>
          <w:szCs w:val="24"/>
        </w:rPr>
        <w:t>c</w:t>
      </w:r>
      <w:r w:rsidR="00D66530" w:rsidRPr="00D66530">
        <w:rPr>
          <w:rFonts w:ascii="Times New Roman" w:hAnsi="Times New Roman" w:cs="Times New Roman"/>
          <w:sz w:val="24"/>
          <w:szCs w:val="24"/>
        </w:rPr>
        <w:t>ada comunidad educativa incluirá en el proceso de elaboración de su proyecto institucional, la adaptación de las propuestas a su realidad sociocultural, en el marco del respeto a su ideario institucional y a las convicciones de sus miembros</w:t>
      </w:r>
      <w:r w:rsidR="00D66530">
        <w:rPr>
          <w:rFonts w:ascii="Times New Roman" w:hAnsi="Times New Roman" w:cs="Times New Roman"/>
          <w:sz w:val="24"/>
          <w:szCs w:val="24"/>
        </w:rPr>
        <w:t>”</w:t>
      </w:r>
      <w:r w:rsidR="00D66530" w:rsidRPr="00D66530">
        <w:rPr>
          <w:rFonts w:ascii="Times New Roman" w:hAnsi="Times New Roman" w:cs="Times New Roman"/>
          <w:sz w:val="24"/>
          <w:szCs w:val="24"/>
        </w:rPr>
        <w:t>.</w:t>
      </w:r>
    </w:p>
    <w:p w:rsidR="0095132B" w:rsidRDefault="0095132B" w:rsidP="0095132B">
      <w:pPr>
        <w:widowControl w:val="0"/>
        <w:suppressAutoHyphens/>
        <w:autoSpaceDE w:val="0"/>
        <w:spacing w:before="100" w:after="100" w:line="240" w:lineRule="auto"/>
        <w:jc w:val="both"/>
        <w:rPr>
          <w:rFonts w:ascii="Times New Roman" w:hAnsi="Times New Roman" w:cs="Times New Roman"/>
          <w:sz w:val="24"/>
          <w:szCs w:val="24"/>
          <w:lang w:val="es-ES_tradnl"/>
        </w:rPr>
      </w:pPr>
      <w:r w:rsidRPr="00C17FD8">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A su vez, e</w:t>
      </w:r>
      <w:r w:rsidRPr="00C17FD8">
        <w:rPr>
          <w:rFonts w:ascii="Times New Roman" w:hAnsi="Times New Roman" w:cs="Times New Roman"/>
          <w:sz w:val="24"/>
          <w:szCs w:val="24"/>
          <w:lang w:val="es-ES_tradnl"/>
        </w:rPr>
        <w:t xml:space="preserve">l art. 10 de la ley uruguaya 18.987 sobre aborto también contempla expresamente </w:t>
      </w:r>
      <w:r w:rsidRPr="00C17FD8">
        <w:rPr>
          <w:rFonts w:ascii="Times New Roman" w:hAnsi="Times New Roman" w:cs="Times New Roman"/>
          <w:sz w:val="24"/>
          <w:szCs w:val="24"/>
          <w:lang w:val="es-ES_tradnl"/>
        </w:rPr>
        <w:lastRenderedPageBreak/>
        <w:t>la objeción de ideario</w:t>
      </w:r>
      <w:r w:rsidRPr="00C17FD8">
        <w:rPr>
          <w:rStyle w:val="Refdenotaalpie"/>
          <w:rFonts w:ascii="Times New Roman" w:hAnsi="Times New Roman" w:cs="Times New Roman"/>
          <w:sz w:val="24"/>
          <w:szCs w:val="24"/>
          <w:lang w:val="es-ES_tradnl"/>
        </w:rPr>
        <w:footnoteReference w:id="9"/>
      </w:r>
      <w:r w:rsidRPr="00C17FD8">
        <w:rPr>
          <w:rFonts w:ascii="Times New Roman" w:hAnsi="Times New Roman" w:cs="Times New Roman"/>
          <w:sz w:val="24"/>
          <w:szCs w:val="24"/>
          <w:lang w:val="es-ES_tradnl"/>
        </w:rPr>
        <w:t xml:space="preserve">. </w:t>
      </w:r>
    </w:p>
    <w:p w:rsidR="00A403DB" w:rsidRDefault="0095132B" w:rsidP="00A403D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También a nivel de legislación de la Unión Europea</w:t>
      </w:r>
      <w:r w:rsidR="00CD53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cabe mencionar otro ejemplo significativo en lo que hace a una consideración jurídica particular de la realidad de las instituciones religiosas en  el tratamiento de la no discriminación en el ámbito laboral. Así, la Directiva 2000/78/CE del Consejo del 27 de noviembre de 2000, luego de prohibir en su art. 3 la discriminación laboral por cualquier motivo, incluido el religioso, precisa en su art. 4: </w:t>
      </w:r>
    </w:p>
    <w:p w:rsidR="0095132B" w:rsidRPr="00547AD5" w:rsidRDefault="0095132B" w:rsidP="00A403DB">
      <w:pPr>
        <w:spacing w:line="240" w:lineRule="auto"/>
        <w:ind w:left="567" w:righ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Estados podrán disponer que una diferencia de trato basada en una característica relacionada con cualquiera de los motivos mencionados en el art. 1 no tendrán carácter discriminatorio cuando debido a la naturaleza de la actividad profesional concreta de que se trata o al contexto en que se lleva a cabo, dicha característica constituye un requisito profesional esencial y determinante siempre y cuando el objetivo sea legítimo y el requisito proporcionado. Los Estados miembros podrán mantener en su legislaciones nacionales (…) disposiciones en virtud de las cuales en el caso de las actividades profesionales de Iglesias y de otras organizaciones públicas o privadas cuya ética se base en la religión o las convicciones de una persona, no constituya discriminación sino una diferencia de trato. Esta diferencia de trato se ejercerá respetando las disposiciones y principios constitucionales de los Estados miembros, así como los principios generales del Derecho Comunitario, y no podrá justificar discriminación basada en otro motivo” y luego se añade que “siempre y cuando sus disposiciones sean respetadas, las disposiciones de la presente Directiva se entenderán sin perjuicio del derecho de las iglesias y de las demás organizaciones públicas y privadas cuya ética se base en la religión o las convicciones, que actuando de conformidad con las disposiciones constitucionales y legislativa nacionales, podrán exigir en consecuencia a las personas que trabajen para ellas una actitud de buena fe y lealtad hacia la ética de la organización”.</w:t>
      </w:r>
    </w:p>
    <w:p w:rsidR="0095132B" w:rsidRPr="00D66530" w:rsidRDefault="0095132B" w:rsidP="0095132B">
      <w:pPr>
        <w:widowControl w:val="0"/>
        <w:suppressAutoHyphens/>
        <w:autoSpaceDE w:val="0"/>
        <w:spacing w:before="100" w:after="100" w:line="240" w:lineRule="auto"/>
        <w:jc w:val="both"/>
        <w:rPr>
          <w:rFonts w:ascii="Times New Roman" w:hAnsi="Times New Roman" w:cs="Times New Roman"/>
          <w:sz w:val="24"/>
          <w:szCs w:val="24"/>
          <w:lang w:val="es-ES_tradnl"/>
        </w:rPr>
      </w:pPr>
      <w:r w:rsidRPr="00D66530">
        <w:rPr>
          <w:rFonts w:ascii="Times New Roman" w:hAnsi="Times New Roman" w:cs="Times New Roman"/>
          <w:sz w:val="24"/>
          <w:szCs w:val="24"/>
        </w:rPr>
        <w:t xml:space="preserve">Por último, </w:t>
      </w:r>
      <w:r w:rsidRPr="00D66530">
        <w:rPr>
          <w:rFonts w:ascii="Times New Roman" w:hAnsi="Times New Roman" w:cs="Times New Roman"/>
          <w:sz w:val="24"/>
          <w:szCs w:val="24"/>
          <w:lang w:val="es-ES_tradnl"/>
        </w:rPr>
        <w:t xml:space="preserve"> cabe mencionarse la </w:t>
      </w:r>
      <w:r w:rsidRPr="00D66530">
        <w:rPr>
          <w:rFonts w:ascii="Times New Roman" w:eastAsia="Times New Roman" w:hAnsi="Times New Roman" w:cs="Times New Roman"/>
          <w:color w:val="000000"/>
          <w:sz w:val="24"/>
          <w:szCs w:val="24"/>
        </w:rPr>
        <w:t>Resolución 1763 del Parlamento Europeo de 7 de octubre de 2010 acerca de la no obligatoriedad de realizar ciertas prácticas médicas que contradicen el ideario de una determinada institución</w:t>
      </w:r>
      <w:r w:rsidRPr="00D66530">
        <w:rPr>
          <w:rStyle w:val="Refdenotaalpie"/>
          <w:rFonts w:ascii="Times New Roman" w:hAnsi="Times New Roman" w:cs="Times New Roman"/>
          <w:sz w:val="24"/>
          <w:szCs w:val="24"/>
          <w:lang w:val="es-ES_tradnl"/>
        </w:rPr>
        <w:footnoteReference w:id="10"/>
      </w:r>
      <w:r w:rsidRPr="00D66530">
        <w:rPr>
          <w:rFonts w:ascii="Times New Roman" w:hAnsi="Times New Roman" w:cs="Times New Roman"/>
          <w:sz w:val="24"/>
          <w:szCs w:val="24"/>
          <w:lang w:val="es-ES_tradnl"/>
        </w:rPr>
        <w:t>.</w:t>
      </w:r>
    </w:p>
    <w:p w:rsidR="0095132B" w:rsidRDefault="0095132B" w:rsidP="0095132B">
      <w:pPr>
        <w:widowControl w:val="0"/>
        <w:suppressAutoHyphens/>
        <w:autoSpaceDE w:val="0"/>
        <w:spacing w:before="100" w:after="100" w:line="240" w:lineRule="auto"/>
        <w:jc w:val="both"/>
        <w:rPr>
          <w:rFonts w:ascii="Times New Roman" w:hAnsi="Times New Roman" w:cs="Times New Roman"/>
          <w:sz w:val="24"/>
          <w:szCs w:val="24"/>
          <w:lang w:val="es-ES_tradnl"/>
        </w:rPr>
      </w:pPr>
      <w:r w:rsidRPr="00C17FD8">
        <w:rPr>
          <w:rFonts w:ascii="Times New Roman" w:hAnsi="Times New Roman" w:cs="Times New Roman"/>
          <w:sz w:val="24"/>
          <w:szCs w:val="24"/>
          <w:lang w:val="es-ES_tradnl"/>
        </w:rPr>
        <w:lastRenderedPageBreak/>
        <w:t>Una de las consecuencia</w:t>
      </w:r>
      <w:r>
        <w:rPr>
          <w:rFonts w:ascii="Times New Roman" w:hAnsi="Times New Roman" w:cs="Times New Roman"/>
          <w:sz w:val="24"/>
          <w:szCs w:val="24"/>
          <w:lang w:val="es-ES_tradnl"/>
        </w:rPr>
        <w:t>s</w:t>
      </w:r>
      <w:r w:rsidRPr="00C17FD8">
        <w:rPr>
          <w:rFonts w:ascii="Times New Roman" w:hAnsi="Times New Roman" w:cs="Times New Roman"/>
          <w:sz w:val="24"/>
          <w:szCs w:val="24"/>
          <w:lang w:val="es-ES_tradnl"/>
        </w:rPr>
        <w:t xml:space="preserve"> jurídica</w:t>
      </w:r>
      <w:r>
        <w:rPr>
          <w:rFonts w:ascii="Times New Roman" w:hAnsi="Times New Roman" w:cs="Times New Roman"/>
          <w:sz w:val="24"/>
          <w:szCs w:val="24"/>
          <w:lang w:val="es-ES_tradnl"/>
        </w:rPr>
        <w:t>s</w:t>
      </w:r>
      <w:r w:rsidRPr="00C17FD8">
        <w:rPr>
          <w:rFonts w:ascii="Times New Roman" w:hAnsi="Times New Roman" w:cs="Times New Roman"/>
          <w:sz w:val="24"/>
          <w:szCs w:val="24"/>
          <w:lang w:val="es-ES_tradnl"/>
        </w:rPr>
        <w:t xml:space="preserve"> más importante</w:t>
      </w:r>
      <w:r>
        <w:rPr>
          <w:rFonts w:ascii="Times New Roman" w:hAnsi="Times New Roman" w:cs="Times New Roman"/>
          <w:sz w:val="24"/>
          <w:szCs w:val="24"/>
          <w:lang w:val="es-ES_tradnl"/>
        </w:rPr>
        <w:t>,</w:t>
      </w:r>
      <w:r w:rsidR="00CD531F">
        <w:rPr>
          <w:rFonts w:ascii="Times New Roman" w:hAnsi="Times New Roman" w:cs="Times New Roman"/>
          <w:sz w:val="24"/>
          <w:szCs w:val="24"/>
          <w:lang w:val="es-ES_tradnl"/>
        </w:rPr>
        <w:t xml:space="preserve"> que se deriva de que una institución sea </w:t>
      </w:r>
      <w:r w:rsidRPr="00C17FD8">
        <w:rPr>
          <w:rFonts w:ascii="Times New Roman" w:hAnsi="Times New Roman" w:cs="Times New Roman"/>
          <w:sz w:val="24"/>
          <w:szCs w:val="24"/>
          <w:lang w:val="es-ES_tradnl"/>
        </w:rPr>
        <w:t xml:space="preserve"> c</w:t>
      </w:r>
      <w:r w:rsidR="00CD531F">
        <w:rPr>
          <w:rFonts w:ascii="Times New Roman" w:hAnsi="Times New Roman" w:cs="Times New Roman"/>
          <w:sz w:val="24"/>
          <w:szCs w:val="24"/>
          <w:lang w:val="es-ES_tradnl"/>
        </w:rPr>
        <w:t>onsiderada como</w:t>
      </w:r>
      <w:r w:rsidRPr="00C17FD8">
        <w:rPr>
          <w:rFonts w:ascii="Times New Roman" w:hAnsi="Times New Roman" w:cs="Times New Roman"/>
          <w:sz w:val="24"/>
          <w:szCs w:val="24"/>
          <w:lang w:val="es-ES_tradnl"/>
        </w:rPr>
        <w:t xml:space="preserve"> organización de tendencia</w:t>
      </w:r>
      <w:r>
        <w:rPr>
          <w:rFonts w:ascii="Times New Roman" w:hAnsi="Times New Roman" w:cs="Times New Roman"/>
          <w:sz w:val="24"/>
          <w:szCs w:val="24"/>
          <w:lang w:val="es-ES_tradnl"/>
        </w:rPr>
        <w:t>,</w:t>
      </w:r>
      <w:r w:rsidRPr="00C17FD8">
        <w:rPr>
          <w:rFonts w:ascii="Times New Roman" w:hAnsi="Times New Roman" w:cs="Times New Roman"/>
          <w:sz w:val="24"/>
          <w:szCs w:val="24"/>
          <w:lang w:val="es-ES_tradnl"/>
        </w:rPr>
        <w:t xml:space="preserve"> es la necesidad de la modalización o adaptación de las normas y principios generales del ordenamiento jurídico a la realidad concreta y específica de esta clase de organizaciones.</w:t>
      </w:r>
    </w:p>
    <w:p w:rsidR="0095132B" w:rsidRPr="00C17FD8" w:rsidRDefault="0095132B" w:rsidP="0095132B">
      <w:pPr>
        <w:widowControl w:val="0"/>
        <w:suppressAutoHyphens/>
        <w:autoSpaceDE w:val="0"/>
        <w:spacing w:before="100" w:after="10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Indudablemente, cuanto más serio y profundo sea el compromiso real </w:t>
      </w:r>
      <w:r w:rsidR="00C52871">
        <w:rPr>
          <w:rFonts w:ascii="Times New Roman" w:hAnsi="Times New Roman" w:cs="Times New Roman"/>
          <w:sz w:val="24"/>
          <w:szCs w:val="24"/>
          <w:lang w:val="es-ES_tradnl"/>
        </w:rPr>
        <w:t>de una institución</w:t>
      </w:r>
      <w:r>
        <w:rPr>
          <w:rFonts w:ascii="Times New Roman" w:hAnsi="Times New Roman" w:cs="Times New Roman"/>
          <w:sz w:val="24"/>
          <w:szCs w:val="24"/>
          <w:lang w:val="es-ES_tradnl"/>
        </w:rPr>
        <w:t xml:space="preserve"> con el ideario que la inspira, mayor deben ser la consideración, reconocimiento y respeto del mismo por parte de sus integrantes y de las autoridades públicas. El ideario no es sólo un documento que contiene los valores que se declaman, sino aquellos que efectivamente inspiran en la práctica  la actividad</w:t>
      </w:r>
      <w:r w:rsidR="00C52871">
        <w:rPr>
          <w:rFonts w:ascii="Times New Roman" w:hAnsi="Times New Roman" w:cs="Times New Roman"/>
          <w:sz w:val="24"/>
          <w:szCs w:val="24"/>
          <w:lang w:val="es-ES_tradnl"/>
        </w:rPr>
        <w:t xml:space="preserve"> de la institución</w:t>
      </w:r>
      <w:r>
        <w:rPr>
          <w:rFonts w:ascii="Times New Roman" w:hAnsi="Times New Roman" w:cs="Times New Roman"/>
          <w:sz w:val="24"/>
          <w:szCs w:val="24"/>
          <w:lang w:val="es-ES_tradnl"/>
        </w:rPr>
        <w:t>. La coherencia con su propio ideario es un factor a tener en cuenta a la hora de reconocer y evaluar sus consecuencias jurídicas</w:t>
      </w:r>
      <w:r>
        <w:rPr>
          <w:rStyle w:val="Refdenotaalpie"/>
          <w:rFonts w:ascii="Times New Roman" w:hAnsi="Times New Roman" w:cs="Times New Roman"/>
          <w:sz w:val="24"/>
          <w:szCs w:val="24"/>
          <w:lang w:val="es-ES_tradnl"/>
        </w:rPr>
        <w:footnoteReference w:id="11"/>
      </w:r>
      <w:r>
        <w:rPr>
          <w:rFonts w:ascii="Times New Roman" w:hAnsi="Times New Roman" w:cs="Times New Roman"/>
          <w:sz w:val="24"/>
          <w:szCs w:val="24"/>
          <w:lang w:val="es-ES_tradnl"/>
        </w:rPr>
        <w:t>.</w:t>
      </w:r>
    </w:p>
    <w:p w:rsidR="0095132B" w:rsidRPr="001608C9" w:rsidRDefault="0095132B" w:rsidP="0095132B">
      <w:pPr>
        <w:widowControl w:val="0"/>
        <w:suppressAutoHyphens/>
        <w:autoSpaceDE w:val="0"/>
        <w:spacing w:before="100" w:after="100" w:line="240" w:lineRule="auto"/>
        <w:jc w:val="both"/>
        <w:rPr>
          <w:sz w:val="24"/>
          <w:szCs w:val="24"/>
          <w:lang w:val="es-ES_tradnl"/>
        </w:rPr>
      </w:pPr>
    </w:p>
    <w:p w:rsidR="0095132B" w:rsidRPr="001608C9" w:rsidRDefault="0095132B" w:rsidP="002529BF">
      <w:pPr>
        <w:pStyle w:val="Ttulo1"/>
        <w:rPr>
          <w:lang w:val="es-ES_tradnl"/>
        </w:rPr>
      </w:pPr>
      <w:bookmarkStart w:id="6" w:name="_Toc393896809"/>
      <w:bookmarkStart w:id="7" w:name="_Toc418765019"/>
      <w:bookmarkStart w:id="8" w:name="_Toc430959264"/>
      <w:r w:rsidRPr="001608C9">
        <w:rPr>
          <w:lang w:val="es-ES_tradnl"/>
        </w:rPr>
        <w:t>C) Los derechos humanos que fundan la posib</w:t>
      </w:r>
      <w:r w:rsidR="00A403DB">
        <w:rPr>
          <w:lang w:val="es-ES_tradnl"/>
        </w:rPr>
        <w:t>ilidad de promover instituciones</w:t>
      </w:r>
      <w:r w:rsidRPr="001608C9">
        <w:rPr>
          <w:lang w:val="es-ES_tradnl"/>
        </w:rPr>
        <w:t xml:space="preserve"> de inspiración </w:t>
      </w:r>
      <w:bookmarkEnd w:id="6"/>
      <w:bookmarkEnd w:id="7"/>
      <w:r w:rsidR="00A403DB">
        <w:rPr>
          <w:lang w:val="es-ES_tradnl"/>
        </w:rPr>
        <w:t>religiosa</w:t>
      </w:r>
      <w:bookmarkEnd w:id="8"/>
    </w:p>
    <w:p w:rsidR="0095132B" w:rsidRPr="001608C9" w:rsidRDefault="0095132B" w:rsidP="0095132B">
      <w:pPr>
        <w:widowControl w:val="0"/>
        <w:suppressAutoHyphens/>
        <w:autoSpaceDE w:val="0"/>
        <w:spacing w:before="100" w:after="100" w:line="240" w:lineRule="auto"/>
        <w:jc w:val="both"/>
        <w:rPr>
          <w:rFonts w:ascii="Times New Roman" w:hAnsi="Times New Roman" w:cs="Times New Roman"/>
          <w:sz w:val="24"/>
          <w:szCs w:val="24"/>
          <w:lang w:val="es-ES_tradnl"/>
        </w:rPr>
      </w:pPr>
      <w:r w:rsidRPr="001608C9">
        <w:rPr>
          <w:rFonts w:ascii="Times New Roman" w:hAnsi="Times New Roman" w:cs="Times New Roman"/>
          <w:sz w:val="24"/>
          <w:szCs w:val="24"/>
          <w:lang w:val="es-ES_tradnl"/>
        </w:rPr>
        <w:t xml:space="preserve">Quienes promueven esta clase de instituciones lo hacen fundados en una serie de derechos fundamentales que las constituciones y los Tratados Internacionales </w:t>
      </w:r>
      <w:r>
        <w:rPr>
          <w:rFonts w:ascii="Times New Roman" w:hAnsi="Times New Roman" w:cs="Times New Roman"/>
          <w:sz w:val="24"/>
          <w:szCs w:val="24"/>
          <w:lang w:val="es-ES_tradnl"/>
        </w:rPr>
        <w:t xml:space="preserve">sobre Derechos Humanos </w:t>
      </w:r>
      <w:r w:rsidRPr="001608C9">
        <w:rPr>
          <w:rFonts w:ascii="Times New Roman" w:hAnsi="Times New Roman" w:cs="Times New Roman"/>
          <w:sz w:val="24"/>
          <w:szCs w:val="24"/>
          <w:lang w:val="es-ES_tradnl"/>
        </w:rPr>
        <w:t>han ido reconociendo y regulando en su alcance. Entre ellos, cabe mencionar los siguientes:</w:t>
      </w:r>
    </w:p>
    <w:p w:rsidR="0095132B" w:rsidRPr="001608C9" w:rsidRDefault="0095132B" w:rsidP="0095132B">
      <w:pPr>
        <w:pStyle w:val="Prrafodelista"/>
        <w:widowControl w:val="0"/>
        <w:numPr>
          <w:ilvl w:val="0"/>
          <w:numId w:val="2"/>
        </w:numPr>
        <w:suppressAutoHyphens/>
        <w:autoSpaceDE w:val="0"/>
        <w:spacing w:before="100" w:after="100" w:line="240" w:lineRule="auto"/>
        <w:jc w:val="both"/>
        <w:rPr>
          <w:rFonts w:ascii="Times New Roman" w:hAnsi="Times New Roman" w:cs="Times New Roman"/>
          <w:sz w:val="24"/>
          <w:szCs w:val="24"/>
          <w:lang w:val="es-ES_tradnl"/>
        </w:rPr>
      </w:pPr>
      <w:r w:rsidRPr="001608C9">
        <w:rPr>
          <w:rFonts w:ascii="Times New Roman" w:hAnsi="Times New Roman" w:cs="Times New Roman"/>
          <w:sz w:val="24"/>
          <w:szCs w:val="24"/>
          <w:lang w:val="es-ES_tradnl"/>
        </w:rPr>
        <w:t>El derecho de asociación con fines útiles;</w:t>
      </w:r>
    </w:p>
    <w:p w:rsidR="0095132B" w:rsidRPr="001608C9" w:rsidRDefault="0095132B" w:rsidP="0095132B">
      <w:pPr>
        <w:pStyle w:val="Prrafodelista"/>
        <w:widowControl w:val="0"/>
        <w:numPr>
          <w:ilvl w:val="0"/>
          <w:numId w:val="2"/>
        </w:numPr>
        <w:suppressAutoHyphens/>
        <w:autoSpaceDE w:val="0"/>
        <w:spacing w:before="100" w:after="100" w:line="240" w:lineRule="auto"/>
        <w:jc w:val="both"/>
        <w:rPr>
          <w:rFonts w:ascii="Times New Roman" w:hAnsi="Times New Roman" w:cs="Times New Roman"/>
          <w:sz w:val="24"/>
          <w:szCs w:val="24"/>
          <w:lang w:val="es-ES_tradnl"/>
        </w:rPr>
      </w:pPr>
      <w:r w:rsidRPr="001608C9">
        <w:rPr>
          <w:rFonts w:ascii="Times New Roman" w:hAnsi="Times New Roman" w:cs="Times New Roman"/>
          <w:sz w:val="24"/>
          <w:szCs w:val="24"/>
          <w:lang w:val="es-ES_tradnl"/>
        </w:rPr>
        <w:t>La libertad  de enseñanza;</w:t>
      </w:r>
    </w:p>
    <w:p w:rsidR="0095132B" w:rsidRPr="001608C9" w:rsidRDefault="0095132B" w:rsidP="0095132B">
      <w:pPr>
        <w:pStyle w:val="Prrafodelista"/>
        <w:widowControl w:val="0"/>
        <w:numPr>
          <w:ilvl w:val="0"/>
          <w:numId w:val="2"/>
        </w:numPr>
        <w:suppressAutoHyphens/>
        <w:autoSpaceDE w:val="0"/>
        <w:spacing w:before="100" w:after="100" w:line="240" w:lineRule="auto"/>
        <w:jc w:val="both"/>
        <w:rPr>
          <w:rFonts w:ascii="Times New Roman" w:hAnsi="Times New Roman" w:cs="Times New Roman"/>
          <w:sz w:val="24"/>
          <w:szCs w:val="24"/>
          <w:lang w:val="es-ES_tradnl"/>
        </w:rPr>
      </w:pPr>
      <w:r w:rsidRPr="001608C9">
        <w:rPr>
          <w:rFonts w:ascii="Times New Roman" w:hAnsi="Times New Roman" w:cs="Times New Roman"/>
          <w:sz w:val="24"/>
          <w:szCs w:val="24"/>
          <w:lang w:val="es-ES_tradnl"/>
        </w:rPr>
        <w:t>La libertad religiosa;</w:t>
      </w:r>
    </w:p>
    <w:p w:rsidR="0095132B" w:rsidRPr="001608C9" w:rsidRDefault="0095132B" w:rsidP="0095132B">
      <w:pPr>
        <w:widowControl w:val="0"/>
        <w:suppressAutoHyphens/>
        <w:autoSpaceDE w:val="0"/>
        <w:spacing w:before="100" w:after="100" w:line="240" w:lineRule="auto"/>
        <w:jc w:val="both"/>
        <w:rPr>
          <w:rFonts w:ascii="Times New Roman" w:hAnsi="Times New Roman" w:cs="Times New Roman"/>
          <w:sz w:val="24"/>
          <w:szCs w:val="24"/>
          <w:lang w:val="es-ES_tradnl"/>
        </w:rPr>
      </w:pPr>
    </w:p>
    <w:p w:rsidR="00C52871" w:rsidRDefault="0095132B" w:rsidP="0095132B">
      <w:pPr>
        <w:autoSpaceDE w:val="0"/>
        <w:autoSpaceDN w:val="0"/>
        <w:adjustRightInd w:val="0"/>
        <w:spacing w:after="0" w:line="240" w:lineRule="auto"/>
        <w:jc w:val="both"/>
        <w:rPr>
          <w:rFonts w:ascii="Times New Roman" w:hAnsi="Times New Roman" w:cs="Times New Roman"/>
          <w:sz w:val="24"/>
          <w:szCs w:val="24"/>
          <w:lang w:val="es-ES_tradnl"/>
        </w:rPr>
      </w:pPr>
      <w:r w:rsidRPr="001608C9">
        <w:rPr>
          <w:rFonts w:ascii="Times New Roman" w:hAnsi="Times New Roman" w:cs="Times New Roman"/>
          <w:sz w:val="24"/>
          <w:szCs w:val="24"/>
          <w:lang w:val="es-ES_tradnl"/>
        </w:rPr>
        <w:lastRenderedPageBreak/>
        <w:t>El derecho de asociación con fines útiles</w:t>
      </w:r>
      <w:r w:rsidR="00C52871">
        <w:rPr>
          <w:rFonts w:ascii="Times New Roman" w:hAnsi="Times New Roman" w:cs="Times New Roman"/>
          <w:sz w:val="24"/>
          <w:szCs w:val="24"/>
          <w:lang w:val="es-ES_tradnl"/>
        </w:rPr>
        <w:t xml:space="preserve">, reconocido en el art. 14 de nuestra CN, </w:t>
      </w:r>
      <w:r w:rsidRPr="001608C9">
        <w:rPr>
          <w:rFonts w:ascii="Times New Roman" w:hAnsi="Times New Roman" w:cs="Times New Roman"/>
          <w:sz w:val="24"/>
          <w:szCs w:val="24"/>
          <w:lang w:val="es-ES_tradnl"/>
        </w:rPr>
        <w:t xml:space="preserve"> permite a los ciudadanos pone</w:t>
      </w:r>
      <w:r w:rsidRPr="00BB41C3">
        <w:rPr>
          <w:rFonts w:ascii="Times New Roman" w:hAnsi="Times New Roman" w:cs="Times New Roman"/>
          <w:sz w:val="24"/>
          <w:szCs w:val="24"/>
          <w:lang w:val="es-ES_tradnl"/>
        </w:rPr>
        <w:t>r en marcha iniciativas que sirvan al bien común político</w:t>
      </w:r>
      <w:r w:rsidR="00C52871">
        <w:rPr>
          <w:rFonts w:ascii="Times New Roman" w:hAnsi="Times New Roman" w:cs="Times New Roman"/>
          <w:sz w:val="24"/>
          <w:szCs w:val="24"/>
          <w:lang w:val="es-ES_tradnl"/>
        </w:rPr>
        <w:t>. Sin lugar a dudas, las actividades educativas, asistenciales y médicas  que desarrollan estas instituciones inspiradas en valores religiosos constituyen</w:t>
      </w:r>
      <w:r w:rsidRPr="00BB41C3">
        <w:rPr>
          <w:rFonts w:ascii="Times New Roman" w:hAnsi="Times New Roman" w:cs="Times New Roman"/>
          <w:sz w:val="24"/>
          <w:szCs w:val="24"/>
          <w:lang w:val="es-ES_tradnl"/>
        </w:rPr>
        <w:t xml:space="preserve"> un claro servicio a la sociedad. La posibilidad de alcanzar ese “fin útil” ha de ser reconocido y protegido jurídicamente. </w:t>
      </w:r>
    </w:p>
    <w:p w:rsidR="00C52871" w:rsidRDefault="00C52871" w:rsidP="0095132B">
      <w:pPr>
        <w:autoSpaceDE w:val="0"/>
        <w:autoSpaceDN w:val="0"/>
        <w:adjustRightInd w:val="0"/>
        <w:spacing w:after="0" w:line="240" w:lineRule="auto"/>
        <w:jc w:val="both"/>
        <w:rPr>
          <w:rFonts w:ascii="Times New Roman" w:hAnsi="Times New Roman" w:cs="Times New Roman"/>
          <w:sz w:val="24"/>
          <w:szCs w:val="24"/>
          <w:lang w:val="es-ES_tradnl"/>
        </w:rPr>
      </w:pPr>
    </w:p>
    <w:p w:rsidR="0095132B" w:rsidRPr="001608C9" w:rsidRDefault="00C52871" w:rsidP="0095132B">
      <w:pPr>
        <w:autoSpaceDE w:val="0"/>
        <w:autoSpaceDN w:val="0"/>
        <w:adjustRightInd w:val="0"/>
        <w:spacing w:after="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De modo complementario, </w:t>
      </w:r>
      <w:r>
        <w:rPr>
          <w:rFonts w:ascii="Times New Roman" w:hAnsi="Times New Roman" w:cs="Times New Roman"/>
          <w:sz w:val="24"/>
          <w:szCs w:val="24"/>
        </w:rPr>
        <w:t>e</w:t>
      </w:r>
      <w:r w:rsidR="0095132B" w:rsidRPr="00BB41C3">
        <w:rPr>
          <w:rFonts w:ascii="Times New Roman" w:hAnsi="Times New Roman" w:cs="Times New Roman"/>
          <w:sz w:val="24"/>
          <w:szCs w:val="24"/>
        </w:rPr>
        <w:t>l art. 16 del Pacto de San</w:t>
      </w:r>
      <w:r w:rsidR="0095132B">
        <w:rPr>
          <w:rFonts w:ascii="Times New Roman" w:hAnsi="Times New Roman" w:cs="Times New Roman"/>
          <w:sz w:val="24"/>
          <w:szCs w:val="24"/>
        </w:rPr>
        <w:t xml:space="preserve"> José de Costa Rica afirma</w:t>
      </w:r>
      <w:r w:rsidR="0095132B" w:rsidRPr="00BB41C3">
        <w:rPr>
          <w:rFonts w:ascii="Times New Roman" w:hAnsi="Times New Roman" w:cs="Times New Roman"/>
          <w:sz w:val="24"/>
          <w:szCs w:val="24"/>
        </w:rPr>
        <w:t xml:space="preserve"> </w:t>
      </w:r>
      <w:r w:rsidR="0095132B">
        <w:rPr>
          <w:rFonts w:ascii="Times New Roman" w:hAnsi="Times New Roman" w:cs="Times New Roman"/>
          <w:sz w:val="24"/>
          <w:szCs w:val="24"/>
        </w:rPr>
        <w:t xml:space="preserve">con amplitud </w:t>
      </w:r>
      <w:r w:rsidR="0095132B" w:rsidRPr="00BB41C3">
        <w:rPr>
          <w:rFonts w:ascii="Times New Roman" w:hAnsi="Times New Roman" w:cs="Times New Roman"/>
          <w:sz w:val="24"/>
          <w:szCs w:val="24"/>
        </w:rPr>
        <w:t xml:space="preserve">la </w:t>
      </w:r>
      <w:r w:rsidR="0095132B" w:rsidRPr="00BB41C3">
        <w:rPr>
          <w:rFonts w:ascii="Times New Roman" w:hAnsi="Times New Roman" w:cs="Times New Roman"/>
          <w:bCs/>
          <w:sz w:val="24"/>
          <w:szCs w:val="24"/>
        </w:rPr>
        <w:t xml:space="preserve">libertad de asociación con fines </w:t>
      </w:r>
      <w:r w:rsidR="0095132B">
        <w:rPr>
          <w:rFonts w:ascii="Times New Roman" w:hAnsi="Times New Roman" w:cs="Times New Roman"/>
          <w:bCs/>
          <w:sz w:val="24"/>
          <w:szCs w:val="24"/>
        </w:rPr>
        <w:t>útiles</w:t>
      </w:r>
      <w:r w:rsidR="0095132B">
        <w:rPr>
          <w:rFonts w:ascii="Times New Roman" w:hAnsi="Times New Roman" w:cs="Times New Roman"/>
          <w:sz w:val="24"/>
          <w:szCs w:val="24"/>
        </w:rPr>
        <w:t xml:space="preserve">, </w:t>
      </w:r>
      <w:r w:rsidR="0095132B" w:rsidRPr="00BB41C3">
        <w:rPr>
          <w:rFonts w:ascii="Times New Roman" w:hAnsi="Times New Roman" w:cs="Times New Roman"/>
          <w:sz w:val="24"/>
          <w:szCs w:val="24"/>
        </w:rPr>
        <w:t>cuando señala que “</w:t>
      </w:r>
      <w:r w:rsidR="0095132B">
        <w:rPr>
          <w:rFonts w:ascii="Times New Roman" w:hAnsi="Times New Roman" w:cs="Times New Roman"/>
          <w:sz w:val="24"/>
          <w:szCs w:val="24"/>
        </w:rPr>
        <w:t>t</w:t>
      </w:r>
      <w:r w:rsidR="0095132B" w:rsidRPr="00BB41C3">
        <w:rPr>
          <w:rFonts w:ascii="Times New Roman" w:hAnsi="Times New Roman" w:cs="Times New Roman"/>
          <w:sz w:val="24"/>
          <w:szCs w:val="24"/>
        </w:rPr>
        <w:t xml:space="preserve">odas las personas tienen derecho a asociarse libremente con fines </w:t>
      </w:r>
      <w:r w:rsidR="0095132B" w:rsidRPr="004D0849">
        <w:rPr>
          <w:rFonts w:ascii="Times New Roman" w:hAnsi="Times New Roman" w:cs="Times New Roman"/>
          <w:i/>
          <w:sz w:val="24"/>
          <w:szCs w:val="24"/>
        </w:rPr>
        <w:t>ideológicos</w:t>
      </w:r>
      <w:r w:rsidR="0095132B" w:rsidRPr="00BB41C3">
        <w:rPr>
          <w:rFonts w:ascii="Times New Roman" w:hAnsi="Times New Roman" w:cs="Times New Roman"/>
          <w:sz w:val="24"/>
          <w:szCs w:val="24"/>
        </w:rPr>
        <w:t xml:space="preserve">, </w:t>
      </w:r>
      <w:r w:rsidR="0095132B" w:rsidRPr="00BB41C3">
        <w:rPr>
          <w:rFonts w:ascii="Times New Roman" w:hAnsi="Times New Roman" w:cs="Times New Roman"/>
          <w:bCs/>
          <w:i/>
          <w:iCs/>
          <w:sz w:val="24"/>
          <w:szCs w:val="24"/>
        </w:rPr>
        <w:t>religiosos</w:t>
      </w:r>
      <w:r w:rsidR="0095132B" w:rsidRPr="00BB41C3">
        <w:rPr>
          <w:rFonts w:ascii="Times New Roman" w:hAnsi="Times New Roman" w:cs="Times New Roman"/>
          <w:sz w:val="24"/>
          <w:szCs w:val="24"/>
        </w:rPr>
        <w:t>, políticos, económicos, laborales, sociales, culturales, deportivos o de cualquiera otra índole.”</w:t>
      </w:r>
      <w:r w:rsidR="0095132B">
        <w:rPr>
          <w:rFonts w:ascii="Times New Roman" w:hAnsi="Times New Roman" w:cs="Times New Roman"/>
          <w:sz w:val="24"/>
          <w:szCs w:val="24"/>
        </w:rPr>
        <w:t xml:space="preserve"> Sostiene con toda razón</w:t>
      </w:r>
      <w:r w:rsidR="0095132B" w:rsidRPr="00826070">
        <w:rPr>
          <w:rFonts w:ascii="Times New Roman" w:hAnsi="Times New Roman" w:cs="Times New Roman"/>
          <w:sz w:val="24"/>
          <w:szCs w:val="24"/>
        </w:rPr>
        <w:t xml:space="preserve"> </w:t>
      </w:r>
      <w:r w:rsidR="00A403DB">
        <w:rPr>
          <w:rFonts w:ascii="Times New Roman" w:hAnsi="Times New Roman" w:cs="Times New Roman"/>
          <w:sz w:val="24"/>
          <w:szCs w:val="24"/>
        </w:rPr>
        <w:t xml:space="preserve">la profesora uruguaya </w:t>
      </w:r>
      <w:r w:rsidR="0095132B" w:rsidRPr="00826070">
        <w:rPr>
          <w:rFonts w:ascii="Times New Roman" w:hAnsi="Times New Roman" w:cs="Times New Roman"/>
          <w:sz w:val="24"/>
          <w:szCs w:val="24"/>
        </w:rPr>
        <w:t xml:space="preserve">Carmen Asiaín: </w:t>
      </w:r>
      <w:r w:rsidR="0095132B">
        <w:rPr>
          <w:rFonts w:ascii="Times New Roman" w:hAnsi="Times New Roman" w:cs="Times New Roman"/>
          <w:sz w:val="24"/>
          <w:szCs w:val="24"/>
        </w:rPr>
        <w:t>“p</w:t>
      </w:r>
      <w:r w:rsidR="0095132B" w:rsidRPr="00826070">
        <w:rPr>
          <w:rFonts w:ascii="Times New Roman" w:hAnsi="Times New Roman" w:cs="Times New Roman"/>
          <w:sz w:val="24"/>
          <w:szCs w:val="24"/>
        </w:rPr>
        <w:t xml:space="preserve">roclamado el derecho de las personas de asociarse (no otra cosa son las instituciones sino personas, seres humanos de carne y hueso, con </w:t>
      </w:r>
      <w:r w:rsidR="0095132B" w:rsidRPr="004D0849">
        <w:rPr>
          <w:rFonts w:ascii="Times New Roman" w:hAnsi="Times New Roman" w:cs="Times New Roman"/>
          <w:i/>
          <w:sz w:val="24"/>
          <w:szCs w:val="24"/>
        </w:rPr>
        <w:t>affectio societatis</w:t>
      </w:r>
      <w:r w:rsidR="0095132B" w:rsidRPr="00826070">
        <w:rPr>
          <w:rFonts w:ascii="Times New Roman" w:hAnsi="Times New Roman" w:cs="Times New Roman"/>
          <w:sz w:val="24"/>
          <w:szCs w:val="24"/>
        </w:rPr>
        <w:t xml:space="preserve"> en torno a una o unas ideas), con fines ideológicos y religiosos, entre otros, queda reconocido el derecho de estas agrupaciones de </w:t>
      </w:r>
      <w:r w:rsidR="0095132B" w:rsidRPr="00826070">
        <w:rPr>
          <w:rFonts w:ascii="Times New Roman" w:hAnsi="Times New Roman" w:cs="Times New Roman"/>
          <w:b/>
          <w:bCs/>
          <w:sz w:val="24"/>
          <w:szCs w:val="24"/>
        </w:rPr>
        <w:t xml:space="preserve">conducirse en sus actos </w:t>
      </w:r>
      <w:r w:rsidR="0095132B" w:rsidRPr="00826070">
        <w:rPr>
          <w:rFonts w:ascii="Times New Roman" w:hAnsi="Times New Roman" w:cs="Times New Roman"/>
          <w:sz w:val="24"/>
          <w:szCs w:val="24"/>
        </w:rPr>
        <w:t xml:space="preserve">en la vida pública, de conformidad con dicho ideario o directriz. El reconocimiento del derecho no se limita a la acción asociativa en sí, sino que quedan reconocidas las proyecciones, dimensiones, modo de ejercicio de este derecho: el desarrollar el ideario mediante acciones, y el no ser constreñido el grupo a actuar en contradicción con el mismo, todo ello siempre y cuando el accionar sea conforme a Derecho. El respeto por el ideario de las instituciones -tanto en su faz negativa de no constreñir, no coaccionar, no interferir, como en su faz positiva, que excede la tolerancia e impone deberes positivos al Estado en el sentido de favorecer el libre ejercicio del derecho- no debe percibirse como una concesión graciosa que hace el Estado, sino antes bien, de la </w:t>
      </w:r>
      <w:r w:rsidR="0095132B" w:rsidRPr="00544647">
        <w:rPr>
          <w:rFonts w:ascii="Times New Roman" w:hAnsi="Times New Roman" w:cs="Times New Roman"/>
          <w:bCs/>
          <w:sz w:val="24"/>
          <w:szCs w:val="24"/>
        </w:rPr>
        <w:t>actitud debida</w:t>
      </w:r>
      <w:r w:rsidR="0095132B" w:rsidRPr="00826070">
        <w:rPr>
          <w:rFonts w:ascii="Times New Roman" w:hAnsi="Times New Roman" w:cs="Times New Roman"/>
          <w:b/>
          <w:bCs/>
          <w:sz w:val="24"/>
          <w:szCs w:val="24"/>
        </w:rPr>
        <w:t xml:space="preserve"> </w:t>
      </w:r>
      <w:r w:rsidR="0095132B" w:rsidRPr="00826070">
        <w:rPr>
          <w:rFonts w:ascii="Times New Roman" w:hAnsi="Times New Roman" w:cs="Times New Roman"/>
          <w:sz w:val="24"/>
          <w:szCs w:val="24"/>
        </w:rPr>
        <w:t>del poder político en un Estado social, democrático y pluralista de Derecho”</w:t>
      </w:r>
      <w:r w:rsidR="0095132B">
        <w:rPr>
          <w:rStyle w:val="Refdenotaalpie"/>
          <w:rFonts w:ascii="Times New Roman" w:hAnsi="Times New Roman" w:cs="Times New Roman"/>
          <w:sz w:val="24"/>
          <w:szCs w:val="24"/>
        </w:rPr>
        <w:footnoteReference w:id="12"/>
      </w:r>
      <w:r w:rsidR="0095132B">
        <w:rPr>
          <w:rFonts w:ascii="PalmSpringsPlain" w:hAnsi="PalmSpringsPlain" w:cs="PalmSpringsPlain"/>
          <w:sz w:val="18"/>
          <w:szCs w:val="18"/>
        </w:rPr>
        <w:t>.</w:t>
      </w:r>
    </w:p>
    <w:p w:rsidR="0095132B" w:rsidRPr="001608C9" w:rsidRDefault="00A403DB" w:rsidP="0095132B">
      <w:pPr>
        <w:widowControl w:val="0"/>
        <w:suppressAutoHyphens/>
        <w:autoSpaceDE w:val="0"/>
        <w:spacing w:before="100" w:after="10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Por su parte, en materia de entidades educativas, l</w:t>
      </w:r>
      <w:r w:rsidR="0095132B" w:rsidRPr="001608C9">
        <w:rPr>
          <w:rFonts w:ascii="Times New Roman" w:hAnsi="Times New Roman" w:cs="Times New Roman"/>
          <w:sz w:val="24"/>
          <w:szCs w:val="24"/>
          <w:lang w:val="es-ES_tradnl"/>
        </w:rPr>
        <w:t>a libertad de enseñanza comprende</w:t>
      </w:r>
      <w:r w:rsidR="0095132B">
        <w:rPr>
          <w:rFonts w:ascii="Times New Roman" w:hAnsi="Times New Roman" w:cs="Times New Roman"/>
          <w:sz w:val="24"/>
          <w:szCs w:val="24"/>
          <w:lang w:val="es-ES_tradnl"/>
        </w:rPr>
        <w:t>,</w:t>
      </w:r>
      <w:r w:rsidR="0095132B" w:rsidRPr="001608C9">
        <w:rPr>
          <w:rFonts w:ascii="Times New Roman" w:hAnsi="Times New Roman" w:cs="Times New Roman"/>
          <w:sz w:val="24"/>
          <w:szCs w:val="24"/>
          <w:lang w:val="es-ES_tradnl"/>
        </w:rPr>
        <w:t xml:space="preserve"> entre sus variados</w:t>
      </w:r>
      <w:r w:rsidR="0095132B">
        <w:rPr>
          <w:rFonts w:ascii="Times New Roman" w:hAnsi="Times New Roman" w:cs="Times New Roman"/>
          <w:sz w:val="24"/>
          <w:szCs w:val="24"/>
          <w:lang w:val="es-ES_tradnl"/>
        </w:rPr>
        <w:t xml:space="preserve"> y múltiples</w:t>
      </w:r>
      <w:r w:rsidR="0095132B" w:rsidRPr="001608C9">
        <w:rPr>
          <w:rFonts w:ascii="Times New Roman" w:hAnsi="Times New Roman" w:cs="Times New Roman"/>
          <w:sz w:val="24"/>
          <w:szCs w:val="24"/>
          <w:lang w:val="es-ES_tradnl"/>
        </w:rPr>
        <w:t xml:space="preserve"> aspectos y facetas</w:t>
      </w:r>
      <w:r w:rsidR="0095132B">
        <w:rPr>
          <w:rFonts w:ascii="Times New Roman" w:hAnsi="Times New Roman" w:cs="Times New Roman"/>
          <w:sz w:val="24"/>
          <w:szCs w:val="24"/>
          <w:lang w:val="es-ES_tradnl"/>
        </w:rPr>
        <w:t>,</w:t>
      </w:r>
      <w:r w:rsidR="0095132B" w:rsidRPr="001608C9">
        <w:rPr>
          <w:rFonts w:ascii="Times New Roman" w:hAnsi="Times New Roman" w:cs="Times New Roman"/>
          <w:sz w:val="24"/>
          <w:szCs w:val="24"/>
          <w:lang w:val="es-ES_tradnl"/>
        </w:rPr>
        <w:t xml:space="preserve"> la posibilidad de cr</w:t>
      </w:r>
      <w:r>
        <w:rPr>
          <w:rFonts w:ascii="Times New Roman" w:hAnsi="Times New Roman" w:cs="Times New Roman"/>
          <w:sz w:val="24"/>
          <w:szCs w:val="24"/>
          <w:lang w:val="es-ES_tradnl"/>
        </w:rPr>
        <w:t>ear centros educativos</w:t>
      </w:r>
      <w:r w:rsidR="0095132B" w:rsidRPr="001608C9">
        <w:rPr>
          <w:rFonts w:ascii="Times New Roman" w:hAnsi="Times New Roman" w:cs="Times New Roman"/>
          <w:sz w:val="24"/>
          <w:szCs w:val="24"/>
          <w:lang w:val="es-ES_tradnl"/>
        </w:rPr>
        <w:t>, otorgándoles una determinada impronta como es el caso de las instituciones de inspiración cristiana.</w:t>
      </w:r>
      <w:r w:rsidR="0095132B">
        <w:rPr>
          <w:rFonts w:ascii="Times New Roman" w:hAnsi="Times New Roman" w:cs="Times New Roman"/>
          <w:sz w:val="24"/>
          <w:szCs w:val="24"/>
          <w:lang w:val="es-ES_tradnl"/>
        </w:rPr>
        <w:t xml:space="preserve"> No se trata de una mera concesión del poder público, sino de un auténtico derecho constitucional y convencional que ha de ser protegido, reconocido con amplitud, y razonablemente regulado.</w:t>
      </w:r>
    </w:p>
    <w:p w:rsidR="0095132B" w:rsidRDefault="0095132B" w:rsidP="0095132B">
      <w:pPr>
        <w:widowControl w:val="0"/>
        <w:suppressAutoHyphens/>
        <w:autoSpaceDE w:val="0"/>
        <w:spacing w:before="100" w:after="100" w:line="240" w:lineRule="auto"/>
        <w:jc w:val="both"/>
        <w:rPr>
          <w:rFonts w:ascii="Times New Roman" w:hAnsi="Times New Roman" w:cs="Times New Roman"/>
          <w:sz w:val="24"/>
          <w:szCs w:val="24"/>
          <w:lang w:val="es-ES_tradnl"/>
        </w:rPr>
      </w:pPr>
      <w:r w:rsidRPr="001608C9">
        <w:rPr>
          <w:rFonts w:ascii="Times New Roman" w:hAnsi="Times New Roman" w:cs="Times New Roman"/>
          <w:sz w:val="24"/>
          <w:szCs w:val="24"/>
          <w:lang w:val="es-ES_tradnl"/>
        </w:rPr>
        <w:t xml:space="preserve">Por último, la libertad religiosa, entre sus múltiples contenidos, abarca </w:t>
      </w:r>
      <w:r>
        <w:rPr>
          <w:rFonts w:ascii="Times New Roman" w:hAnsi="Times New Roman" w:cs="Times New Roman"/>
          <w:sz w:val="24"/>
          <w:szCs w:val="24"/>
          <w:lang w:val="es-ES_tradnl"/>
        </w:rPr>
        <w:t xml:space="preserve">en su dimensión comunitaria </w:t>
      </w:r>
      <w:r w:rsidRPr="001608C9">
        <w:rPr>
          <w:rFonts w:ascii="Times New Roman" w:hAnsi="Times New Roman" w:cs="Times New Roman"/>
          <w:sz w:val="24"/>
          <w:szCs w:val="24"/>
          <w:lang w:val="es-ES_tradnl"/>
        </w:rPr>
        <w:t>la facultad de emprender</w:t>
      </w:r>
      <w:r w:rsidR="00C52871">
        <w:rPr>
          <w:rFonts w:ascii="Times New Roman" w:hAnsi="Times New Roman" w:cs="Times New Roman"/>
          <w:sz w:val="24"/>
          <w:szCs w:val="24"/>
          <w:lang w:val="es-ES_tradnl"/>
        </w:rPr>
        <w:t xml:space="preserve"> este tipo de iniciativas sociales fundadas en valores religiosos</w:t>
      </w:r>
      <w:r w:rsidRPr="001608C9">
        <w:rPr>
          <w:rFonts w:ascii="Times New Roman" w:hAnsi="Times New Roman" w:cs="Times New Roman"/>
          <w:sz w:val="24"/>
          <w:szCs w:val="24"/>
          <w:lang w:val="es-ES_tradnl"/>
        </w:rPr>
        <w:t>. Como lo ha puesto de relieve Habermas, es mucho lo que la religión, las confesiones religiosas y los ciudadanos creyentes pueden aportar a las modernas sociedades democráticas pos-seculares.</w:t>
      </w:r>
    </w:p>
    <w:p w:rsidR="00A403DB" w:rsidRDefault="00A403DB" w:rsidP="0095132B">
      <w:pPr>
        <w:widowControl w:val="0"/>
        <w:suppressAutoHyphens/>
        <w:autoSpaceDE w:val="0"/>
        <w:spacing w:before="100" w:after="10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Cabría tener en cuenta aquí, con las debidas adaptaciones, la progresiva apertura de la jurisprudencia de la Corte Suprema</w:t>
      </w:r>
      <w:r w:rsidR="003F1F90">
        <w:rPr>
          <w:rFonts w:ascii="Times New Roman" w:hAnsi="Times New Roman" w:cs="Times New Roman"/>
          <w:sz w:val="24"/>
          <w:szCs w:val="24"/>
          <w:lang w:val="es-ES_tradnl"/>
        </w:rPr>
        <w:t xml:space="preserve"> argentina</w:t>
      </w:r>
      <w:r>
        <w:rPr>
          <w:rFonts w:ascii="Times New Roman" w:hAnsi="Times New Roman" w:cs="Times New Roman"/>
          <w:sz w:val="24"/>
          <w:szCs w:val="24"/>
          <w:lang w:val="es-ES_tradnl"/>
        </w:rPr>
        <w:t xml:space="preserve"> y del derecho comparado para reconocer el derecho a la objeción de conciencia de carácter personal. </w:t>
      </w:r>
    </w:p>
    <w:p w:rsidR="00D65678" w:rsidRDefault="00D0114F" w:rsidP="006F63F0">
      <w:pPr>
        <w:widowControl w:val="0"/>
        <w:suppressAutoHyphens/>
        <w:autoSpaceDE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lang w:val="es-ES_tradnl"/>
        </w:rPr>
        <w:t>Así, l</w:t>
      </w:r>
      <w:r w:rsidR="003F1F90" w:rsidRPr="00D0114F">
        <w:rPr>
          <w:rFonts w:ascii="Times New Roman" w:hAnsi="Times New Roman" w:cs="Times New Roman"/>
          <w:sz w:val="24"/>
          <w:szCs w:val="24"/>
          <w:lang w:val="es-ES_tradnl"/>
        </w:rPr>
        <w:t>a Corte Suprema argentina comenz</w:t>
      </w:r>
      <w:r w:rsidR="00D66530">
        <w:rPr>
          <w:rFonts w:ascii="Times New Roman" w:hAnsi="Times New Roman" w:cs="Times New Roman"/>
          <w:sz w:val="24"/>
          <w:szCs w:val="24"/>
          <w:lang w:val="es-ES_tradnl"/>
        </w:rPr>
        <w:t>ó a reconocer</w:t>
      </w:r>
      <w:r w:rsidR="003F1F90" w:rsidRPr="00D0114F">
        <w:rPr>
          <w:rFonts w:ascii="Times New Roman" w:hAnsi="Times New Roman" w:cs="Times New Roman"/>
          <w:sz w:val="24"/>
          <w:szCs w:val="24"/>
          <w:lang w:val="es-ES_tradnl"/>
        </w:rPr>
        <w:t xml:space="preserve"> </w:t>
      </w:r>
      <w:r w:rsidR="00D66530">
        <w:rPr>
          <w:rFonts w:ascii="Times New Roman" w:hAnsi="Times New Roman" w:cs="Times New Roman"/>
          <w:sz w:val="24"/>
          <w:szCs w:val="24"/>
          <w:lang w:val="es-ES_tradnl"/>
        </w:rPr>
        <w:t>tenuemente la objeción de conciencia</w:t>
      </w:r>
      <w:r w:rsidR="003F1F90" w:rsidRPr="00D0114F">
        <w:rPr>
          <w:rFonts w:ascii="Times New Roman" w:hAnsi="Times New Roman" w:cs="Times New Roman"/>
          <w:sz w:val="24"/>
          <w:szCs w:val="24"/>
          <w:lang w:val="es-ES_tradnl"/>
        </w:rPr>
        <w:t xml:space="preserve"> en su novena etapa (1976-1983) cuando</w:t>
      </w:r>
      <w:r w:rsidR="00D66530">
        <w:rPr>
          <w:rFonts w:ascii="Times New Roman" w:hAnsi="Times New Roman" w:cs="Times New Roman"/>
          <w:sz w:val="24"/>
          <w:szCs w:val="24"/>
          <w:lang w:val="es-ES_tradnl"/>
        </w:rPr>
        <w:t xml:space="preserve">, </w:t>
      </w:r>
      <w:r w:rsidR="003F1F90" w:rsidRPr="00D0114F">
        <w:rPr>
          <w:rFonts w:ascii="Times New Roman" w:hAnsi="Times New Roman" w:cs="Times New Roman"/>
          <w:sz w:val="24"/>
          <w:szCs w:val="24"/>
          <w:lang w:val="es-ES_tradnl"/>
        </w:rPr>
        <w:t xml:space="preserve"> en los casos “Barros”</w:t>
      </w:r>
      <w:r w:rsidR="003F1F90" w:rsidRPr="00D0114F">
        <w:rPr>
          <w:rStyle w:val="Refdenotaalpie"/>
          <w:rFonts w:ascii="Times New Roman" w:hAnsi="Times New Roman" w:cs="Times New Roman"/>
          <w:sz w:val="24"/>
          <w:szCs w:val="24"/>
        </w:rPr>
        <w:t xml:space="preserve"> </w:t>
      </w:r>
      <w:r w:rsidR="003F1F90" w:rsidRPr="00D0114F">
        <w:rPr>
          <w:rStyle w:val="Refdenotaalpie"/>
          <w:rFonts w:ascii="Times New Roman" w:hAnsi="Times New Roman" w:cs="Times New Roman"/>
          <w:sz w:val="24"/>
          <w:szCs w:val="24"/>
        </w:rPr>
        <w:footnoteReference w:id="13"/>
      </w:r>
      <w:r w:rsidR="003F1F90" w:rsidRPr="00D0114F">
        <w:rPr>
          <w:rFonts w:ascii="Times New Roman" w:hAnsi="Times New Roman" w:cs="Times New Roman"/>
          <w:sz w:val="24"/>
          <w:szCs w:val="24"/>
        </w:rPr>
        <w:t xml:space="preserve"> y “Santa Cruz”</w:t>
      </w:r>
      <w:r w:rsidR="003F1F90" w:rsidRPr="00D0114F">
        <w:rPr>
          <w:rStyle w:val="Refdenotaalpie"/>
          <w:rFonts w:ascii="Times New Roman" w:hAnsi="Times New Roman" w:cs="Times New Roman"/>
          <w:sz w:val="24"/>
          <w:szCs w:val="24"/>
        </w:rPr>
        <w:footnoteReference w:id="14"/>
      </w:r>
      <w:r w:rsidR="00D66530">
        <w:rPr>
          <w:rFonts w:ascii="Times New Roman" w:hAnsi="Times New Roman" w:cs="Times New Roman"/>
          <w:sz w:val="24"/>
          <w:szCs w:val="24"/>
        </w:rPr>
        <w:t>,</w:t>
      </w:r>
      <w:r w:rsidR="003F1F90" w:rsidRPr="00D0114F">
        <w:rPr>
          <w:rFonts w:ascii="Times New Roman" w:hAnsi="Times New Roman" w:cs="Times New Roman"/>
          <w:sz w:val="24"/>
          <w:szCs w:val="24"/>
        </w:rPr>
        <w:t xml:space="preserve"> dejó sin </w:t>
      </w:r>
      <w:r w:rsidR="003F1F90" w:rsidRPr="00D0114F">
        <w:rPr>
          <w:rFonts w:ascii="Times New Roman" w:hAnsi="Times New Roman" w:cs="Times New Roman"/>
          <w:sz w:val="24"/>
          <w:szCs w:val="24"/>
        </w:rPr>
        <w:lastRenderedPageBreak/>
        <w:t>efecto sanciones de alumnos Testigos de Jehová que se negaban a reverenciar los símbolos patrios</w:t>
      </w:r>
      <w:r w:rsidR="003F1F90" w:rsidRPr="00D0114F">
        <w:rPr>
          <w:rStyle w:val="Refdenotaalpie"/>
          <w:rFonts w:ascii="Times New Roman" w:hAnsi="Times New Roman" w:cs="Times New Roman"/>
          <w:sz w:val="24"/>
          <w:szCs w:val="24"/>
        </w:rPr>
        <w:footnoteReference w:id="15"/>
      </w:r>
      <w:r w:rsidR="003F1F90" w:rsidRPr="00D0114F">
        <w:rPr>
          <w:rFonts w:ascii="Times New Roman" w:hAnsi="Times New Roman" w:cs="Times New Roman"/>
          <w:sz w:val="24"/>
          <w:szCs w:val="24"/>
        </w:rPr>
        <w:t>. Más adelante, en la décima etapa (1983-1990), reconoció el derecho a la objeción de conciencia</w:t>
      </w:r>
      <w:r w:rsidR="00D66530">
        <w:rPr>
          <w:rFonts w:ascii="Times New Roman" w:hAnsi="Times New Roman" w:cs="Times New Roman"/>
          <w:sz w:val="24"/>
          <w:szCs w:val="24"/>
        </w:rPr>
        <w:t xml:space="preserve"> a la prestación con armas del servicio militar</w:t>
      </w:r>
      <w:r w:rsidR="003F1F90" w:rsidRPr="00D0114F">
        <w:rPr>
          <w:rFonts w:ascii="Times New Roman" w:hAnsi="Times New Roman" w:cs="Times New Roman"/>
          <w:sz w:val="24"/>
          <w:szCs w:val="24"/>
        </w:rPr>
        <w:t xml:space="preserve"> en el caso Portillo</w:t>
      </w:r>
      <w:r w:rsidR="003F1F90" w:rsidRPr="00D0114F">
        <w:rPr>
          <w:rStyle w:val="Refdenotaalpie"/>
          <w:rFonts w:ascii="Times New Roman" w:hAnsi="Times New Roman" w:cs="Times New Roman"/>
          <w:sz w:val="24"/>
          <w:szCs w:val="24"/>
        </w:rPr>
        <w:footnoteReference w:id="16"/>
      </w:r>
      <w:r w:rsidR="003F1F90" w:rsidRPr="00D0114F">
        <w:rPr>
          <w:rFonts w:ascii="Times New Roman" w:hAnsi="Times New Roman" w:cs="Times New Roman"/>
          <w:sz w:val="24"/>
          <w:szCs w:val="24"/>
        </w:rPr>
        <w:t xml:space="preserve">. Ya en la undécima etapa (1990-2003), </w:t>
      </w:r>
      <w:r w:rsidR="00D66530">
        <w:rPr>
          <w:rFonts w:ascii="Times New Roman" w:hAnsi="Times New Roman" w:cs="Times New Roman"/>
          <w:sz w:val="24"/>
          <w:szCs w:val="24"/>
        </w:rPr>
        <w:t>la Corte estableció</w:t>
      </w:r>
      <w:r w:rsidR="00D65678" w:rsidRPr="00D0114F">
        <w:rPr>
          <w:rFonts w:ascii="Times New Roman" w:hAnsi="Times New Roman" w:cs="Times New Roman"/>
          <w:sz w:val="24"/>
          <w:szCs w:val="24"/>
        </w:rPr>
        <w:t>, en el caso “Bahamondez”</w:t>
      </w:r>
      <w:r w:rsidR="003F1F90" w:rsidRPr="00D0114F">
        <w:rPr>
          <w:rStyle w:val="Refdenotaalpie"/>
          <w:rFonts w:ascii="Times New Roman" w:hAnsi="Times New Roman" w:cs="Times New Roman"/>
          <w:sz w:val="24"/>
          <w:szCs w:val="24"/>
        </w:rPr>
        <w:t xml:space="preserve"> </w:t>
      </w:r>
      <w:r w:rsidR="003F1F90" w:rsidRPr="00D0114F">
        <w:rPr>
          <w:rStyle w:val="Refdenotaalpie"/>
          <w:rFonts w:ascii="Times New Roman" w:hAnsi="Times New Roman" w:cs="Times New Roman"/>
          <w:sz w:val="24"/>
          <w:szCs w:val="24"/>
        </w:rPr>
        <w:footnoteReference w:id="17"/>
      </w:r>
      <w:r w:rsidR="00D65678" w:rsidRPr="00D0114F">
        <w:rPr>
          <w:rFonts w:ascii="Times New Roman" w:hAnsi="Times New Roman" w:cs="Times New Roman"/>
          <w:sz w:val="24"/>
          <w:szCs w:val="24"/>
        </w:rPr>
        <w:t>, que una persona podía, por razones de conciencia y religión, negarse a recibir un tratamiento médico ordinario, aunque esto le pusiera en riesgo de perder la vida.</w:t>
      </w:r>
      <w:r w:rsidR="006F63F0" w:rsidRPr="00D0114F">
        <w:rPr>
          <w:rFonts w:ascii="Times New Roman" w:hAnsi="Times New Roman" w:cs="Times New Roman"/>
          <w:sz w:val="24"/>
          <w:szCs w:val="24"/>
        </w:rPr>
        <w:t xml:space="preserve"> También en la resolución del caso “Tanus”</w:t>
      </w:r>
      <w:r w:rsidR="006F63F0" w:rsidRPr="00D0114F">
        <w:rPr>
          <w:rStyle w:val="Refdenotaalpie"/>
          <w:rFonts w:ascii="Times New Roman" w:hAnsi="Times New Roman" w:cs="Times New Roman"/>
          <w:sz w:val="24"/>
          <w:szCs w:val="24"/>
        </w:rPr>
        <w:footnoteReference w:id="18"/>
      </w:r>
      <w:r w:rsidR="006F63F0" w:rsidRPr="00D0114F">
        <w:rPr>
          <w:rFonts w:ascii="Times New Roman" w:hAnsi="Times New Roman" w:cs="Times New Roman"/>
          <w:sz w:val="24"/>
          <w:szCs w:val="24"/>
        </w:rPr>
        <w:t>, sobre inducción de parto de un niño anancefálico, nuestro máximo tribunal</w:t>
      </w:r>
      <w:r w:rsidR="00D65678" w:rsidRPr="00D0114F">
        <w:rPr>
          <w:rFonts w:ascii="Times New Roman" w:hAnsi="Times New Roman" w:cs="Times New Roman"/>
          <w:sz w:val="24"/>
          <w:szCs w:val="24"/>
        </w:rPr>
        <w:t xml:space="preserve"> confirmó íntegramente el fallo del Superior Tribunal de Justic</w:t>
      </w:r>
      <w:r w:rsidR="006F63F0" w:rsidRPr="00D0114F">
        <w:rPr>
          <w:rFonts w:ascii="Times New Roman" w:hAnsi="Times New Roman" w:cs="Times New Roman"/>
          <w:sz w:val="24"/>
          <w:szCs w:val="24"/>
        </w:rPr>
        <w:t>ia de la Ciudad de Buenos Aires que establecía</w:t>
      </w:r>
      <w:r w:rsidR="00D65678" w:rsidRPr="00D0114F">
        <w:rPr>
          <w:rFonts w:ascii="Times New Roman" w:hAnsi="Times New Roman" w:cs="Times New Roman"/>
          <w:sz w:val="24"/>
          <w:szCs w:val="24"/>
        </w:rPr>
        <w:t xml:space="preserve"> que, si los médicos designados para practicar la intervención se negaran por razones de conciencia, había que reconocerles este derecho, y el hospital público debía realizar las sustituciones que correspondieran.</w:t>
      </w:r>
      <w:r w:rsidR="006F63F0" w:rsidRPr="00D0114F">
        <w:rPr>
          <w:rFonts w:ascii="Times New Roman" w:hAnsi="Times New Roman" w:cs="Times New Roman"/>
          <w:sz w:val="24"/>
          <w:szCs w:val="24"/>
        </w:rPr>
        <w:t xml:space="preserve"> Ya en la actual duodécima etapa (2003-…), la Corte Suprema dictó </w:t>
      </w:r>
      <w:r w:rsidRPr="00D0114F">
        <w:rPr>
          <w:rFonts w:ascii="Times New Roman" w:hAnsi="Times New Roman" w:cs="Times New Roman"/>
          <w:sz w:val="24"/>
          <w:szCs w:val="24"/>
        </w:rPr>
        <w:t>en junio d</w:t>
      </w:r>
      <w:r w:rsidR="006F63F0" w:rsidRPr="00D0114F">
        <w:rPr>
          <w:rFonts w:ascii="Times New Roman" w:hAnsi="Times New Roman" w:cs="Times New Roman"/>
          <w:sz w:val="24"/>
          <w:szCs w:val="24"/>
        </w:rPr>
        <w:t>e</w:t>
      </w:r>
      <w:r w:rsidRPr="00D0114F">
        <w:rPr>
          <w:rFonts w:ascii="Times New Roman" w:hAnsi="Times New Roman" w:cs="Times New Roman"/>
          <w:sz w:val="24"/>
          <w:szCs w:val="24"/>
        </w:rPr>
        <w:t xml:space="preserve"> 2012 e</w:t>
      </w:r>
      <w:r w:rsidR="006F63F0" w:rsidRPr="00D0114F">
        <w:rPr>
          <w:rFonts w:ascii="Times New Roman" w:hAnsi="Times New Roman" w:cs="Times New Roman"/>
          <w:sz w:val="24"/>
          <w:szCs w:val="24"/>
        </w:rPr>
        <w:t xml:space="preserve">l fallo </w:t>
      </w:r>
      <w:r>
        <w:rPr>
          <w:rFonts w:ascii="Times New Roman" w:hAnsi="Times New Roman" w:cs="Times New Roman"/>
          <w:sz w:val="24"/>
          <w:szCs w:val="24"/>
        </w:rPr>
        <w:t>“</w:t>
      </w:r>
      <w:r w:rsidRPr="00D0114F">
        <w:rPr>
          <w:rFonts w:ascii="Times New Roman" w:hAnsi="Times New Roman" w:cs="Times New Roman"/>
          <w:sz w:val="24"/>
          <w:szCs w:val="24"/>
        </w:rPr>
        <w:t>Albarracín Nieves</w:t>
      </w:r>
      <w:r>
        <w:rPr>
          <w:rFonts w:ascii="Times New Roman" w:hAnsi="Times New Roman" w:cs="Times New Roman"/>
          <w:sz w:val="24"/>
          <w:szCs w:val="24"/>
        </w:rPr>
        <w:t>”</w:t>
      </w:r>
      <w:r>
        <w:rPr>
          <w:rStyle w:val="Refdenotaalpie"/>
          <w:rFonts w:ascii="Times New Roman" w:hAnsi="Times New Roman" w:cs="Times New Roman"/>
          <w:sz w:val="24"/>
          <w:szCs w:val="24"/>
        </w:rPr>
        <w:footnoteReference w:id="19"/>
      </w:r>
      <w:r w:rsidRPr="00D0114F">
        <w:rPr>
          <w:rFonts w:ascii="Times New Roman" w:hAnsi="Times New Roman" w:cs="Times New Roman"/>
          <w:sz w:val="24"/>
          <w:szCs w:val="24"/>
        </w:rPr>
        <w:t xml:space="preserve"> reconociendo ampliamente </w:t>
      </w:r>
      <w:r>
        <w:rPr>
          <w:rFonts w:ascii="Times New Roman" w:hAnsi="Times New Roman" w:cs="Times New Roman"/>
          <w:sz w:val="24"/>
          <w:szCs w:val="24"/>
        </w:rPr>
        <w:t xml:space="preserve">a la autodeterminación </w:t>
      </w:r>
      <w:r w:rsidRPr="00D0114F">
        <w:rPr>
          <w:rFonts w:ascii="Times New Roman" w:hAnsi="Times New Roman" w:cs="Times New Roman"/>
          <w:sz w:val="24"/>
          <w:szCs w:val="24"/>
        </w:rPr>
        <w:t>con motivo de tratamientos m</w:t>
      </w:r>
      <w:r w:rsidR="00D66530">
        <w:rPr>
          <w:rFonts w:ascii="Times New Roman" w:hAnsi="Times New Roman" w:cs="Times New Roman"/>
          <w:sz w:val="24"/>
          <w:szCs w:val="24"/>
        </w:rPr>
        <w:t>édicos y la negativa a recibir tratamiento médicos que contradigan las propias convicciones religiosas.</w:t>
      </w:r>
    </w:p>
    <w:p w:rsidR="00D0114F" w:rsidRDefault="00D66530" w:rsidP="006F63F0">
      <w:pPr>
        <w:widowControl w:val="0"/>
        <w:suppressAutoHyphens/>
        <w:autoSpaceDE w:val="0"/>
        <w:spacing w:before="100" w:after="100" w:line="240" w:lineRule="auto"/>
        <w:jc w:val="both"/>
        <w:rPr>
          <w:rFonts w:ascii="Times New Roman" w:hAnsi="Times New Roman" w:cs="Times New Roman"/>
          <w:sz w:val="24"/>
          <w:szCs w:val="24"/>
        </w:rPr>
      </w:pPr>
      <w:r>
        <w:rPr>
          <w:rFonts w:ascii="Times New Roman" w:hAnsi="Times New Roman" w:cs="Times New Roman"/>
          <w:sz w:val="24"/>
          <w:szCs w:val="24"/>
        </w:rPr>
        <w:t>Como puede verse, l</w:t>
      </w:r>
      <w:r w:rsidR="00D0114F">
        <w:rPr>
          <w:rFonts w:ascii="Times New Roman" w:hAnsi="Times New Roman" w:cs="Times New Roman"/>
          <w:sz w:val="24"/>
          <w:szCs w:val="24"/>
        </w:rPr>
        <w:t>a objeción de conciencia</w:t>
      </w:r>
      <w:r>
        <w:rPr>
          <w:rFonts w:ascii="Times New Roman" w:hAnsi="Times New Roman" w:cs="Times New Roman"/>
          <w:sz w:val="24"/>
          <w:szCs w:val="24"/>
        </w:rPr>
        <w:t xml:space="preserve"> en algunos supuestos extremos</w:t>
      </w:r>
      <w:r w:rsidR="00D0114F">
        <w:rPr>
          <w:rFonts w:ascii="Times New Roman" w:hAnsi="Times New Roman" w:cs="Times New Roman"/>
          <w:sz w:val="24"/>
          <w:szCs w:val="24"/>
        </w:rPr>
        <w:t xml:space="preserve"> ha pasado a ser parte necesaria, un contenido esencial, del derecho constitucional a la libertad religiosa. Motivos análogos </w:t>
      </w:r>
      <w:r>
        <w:rPr>
          <w:rFonts w:ascii="Times New Roman" w:hAnsi="Times New Roman" w:cs="Times New Roman"/>
          <w:sz w:val="24"/>
          <w:szCs w:val="24"/>
        </w:rPr>
        <w:t xml:space="preserve">a los </w:t>
      </w:r>
      <w:r w:rsidR="00D0114F">
        <w:rPr>
          <w:rFonts w:ascii="Times New Roman" w:hAnsi="Times New Roman" w:cs="Times New Roman"/>
          <w:sz w:val="24"/>
          <w:szCs w:val="24"/>
        </w:rPr>
        <w:t xml:space="preserve">que llevan a reconocer el derecho a no realizar aquellas acciones ordenadas legalmente que contradicen abiertamente las propias convicciones de carácter religioso o moral, </w:t>
      </w:r>
      <w:r>
        <w:rPr>
          <w:rFonts w:ascii="Times New Roman" w:hAnsi="Times New Roman" w:cs="Times New Roman"/>
          <w:sz w:val="24"/>
          <w:szCs w:val="24"/>
        </w:rPr>
        <w:t>pueden fundar</w:t>
      </w:r>
      <w:r w:rsidR="00BD1F8D">
        <w:rPr>
          <w:rFonts w:ascii="Times New Roman" w:hAnsi="Times New Roman" w:cs="Times New Roman"/>
          <w:sz w:val="24"/>
          <w:szCs w:val="24"/>
        </w:rPr>
        <w:t xml:space="preserve"> el derecho de las instituciones inspiradas en valores religiosos y de sus integrantes a no ser obligados a realizar actividades claramente contrarias a su ideario.</w:t>
      </w:r>
    </w:p>
    <w:p w:rsidR="00F17FAA" w:rsidRPr="00CD531F" w:rsidRDefault="00F17FAA" w:rsidP="00F17FAA">
      <w:pPr>
        <w:widowControl w:val="0"/>
        <w:suppressAutoHyphens/>
        <w:autoSpaceDE w:val="0"/>
        <w:spacing w:before="100" w:after="100" w:line="240" w:lineRule="auto"/>
        <w:jc w:val="both"/>
        <w:rPr>
          <w:rFonts w:ascii="Times New Roman" w:hAnsi="Times New Roman" w:cs="Times New Roman"/>
          <w:sz w:val="24"/>
          <w:szCs w:val="24"/>
        </w:rPr>
      </w:pPr>
      <w:r w:rsidRPr="00CD531F">
        <w:rPr>
          <w:rFonts w:ascii="Times New Roman" w:hAnsi="Times New Roman" w:cs="Times New Roman"/>
          <w:sz w:val="24"/>
          <w:szCs w:val="24"/>
        </w:rPr>
        <w:t xml:space="preserve">Así, la conclusión X del XV Coloquio del Consorcio Latinoamericano de libertad religiosa, celebrado en </w:t>
      </w:r>
      <w:r w:rsidRPr="00CD531F">
        <w:rPr>
          <w:rFonts w:ascii="Times New Roman" w:hAnsi="Times New Roman" w:cs="Times New Roman"/>
          <w:sz w:val="24"/>
          <w:szCs w:val="24"/>
          <w:lang w:val="es-UY"/>
        </w:rPr>
        <w:t xml:space="preserve">México, D.F., 21 al 23 de mayo de </w:t>
      </w:r>
      <w:r w:rsidRPr="00CD531F">
        <w:rPr>
          <w:rFonts w:ascii="Times New Roman" w:hAnsi="Times New Roman" w:cs="Times New Roman"/>
          <w:sz w:val="24"/>
          <w:szCs w:val="24"/>
          <w:lang w:val="es-ES"/>
        </w:rPr>
        <w:t>2015 señala:  “</w:t>
      </w:r>
      <w:r w:rsidRPr="00CD531F">
        <w:rPr>
          <w:rFonts w:ascii="Times New Roman" w:hAnsi="Times New Roman" w:cs="Times New Roman"/>
          <w:sz w:val="24"/>
          <w:szCs w:val="24"/>
        </w:rPr>
        <w:t xml:space="preserve">La tutela jurídica de la </w:t>
      </w:r>
      <w:r w:rsidRPr="00CD531F">
        <w:rPr>
          <w:rFonts w:ascii="Times New Roman" w:hAnsi="Times New Roman" w:cs="Times New Roman"/>
          <w:bCs/>
          <w:sz w:val="24"/>
          <w:szCs w:val="24"/>
        </w:rPr>
        <w:t>dimensión colectiva</w:t>
      </w:r>
      <w:r w:rsidRPr="00CD531F">
        <w:rPr>
          <w:rFonts w:ascii="Times New Roman" w:hAnsi="Times New Roman" w:cs="Times New Roman"/>
          <w:sz w:val="24"/>
          <w:szCs w:val="24"/>
        </w:rPr>
        <w:t xml:space="preserve"> del derecho de Libertad Religiosa es debida, por ser el ejercicio “en comunidad con otros” una dimensión esencial –la propia y más frecuente- de la Libertad Religiosa. Reconocido el derecho de las colectividades religiosas y de las entidades e instituciones definidas en torno a unas creencias de conducirse de conformidad con su ideario, la procedencia de la admisión de la </w:t>
      </w:r>
      <w:r w:rsidRPr="00CD531F">
        <w:rPr>
          <w:rFonts w:ascii="Times New Roman" w:hAnsi="Times New Roman" w:cs="Times New Roman"/>
          <w:bCs/>
          <w:sz w:val="24"/>
          <w:szCs w:val="24"/>
        </w:rPr>
        <w:t>objeción planteada por personas jurídicas al cumplimiento de obligaciones contrarias a su doctrina</w:t>
      </w:r>
      <w:r w:rsidRPr="00CD531F">
        <w:rPr>
          <w:rFonts w:ascii="Times New Roman" w:hAnsi="Times New Roman" w:cs="Times New Roman"/>
          <w:sz w:val="24"/>
          <w:szCs w:val="24"/>
        </w:rPr>
        <w:t xml:space="preserve"> no se discute, existiendo en cambio una gradación en la dificultad probatoria, a la hora de demostrar que el ideario institucional de esta especie dentro del género de ´empresas de tendencia´ le impide cumplir con la obligación contenida en la norma de general aplicación”</w:t>
      </w:r>
      <w:r w:rsidR="00890E2A" w:rsidRPr="00CD531F">
        <w:rPr>
          <w:rStyle w:val="Refdenotaalpie"/>
          <w:rFonts w:ascii="Times New Roman" w:hAnsi="Times New Roman" w:cs="Times New Roman"/>
          <w:sz w:val="24"/>
          <w:szCs w:val="24"/>
        </w:rPr>
        <w:footnoteReference w:id="20"/>
      </w:r>
      <w:r w:rsidRPr="00CD531F">
        <w:rPr>
          <w:rFonts w:ascii="Times New Roman" w:hAnsi="Times New Roman" w:cs="Times New Roman"/>
          <w:sz w:val="24"/>
          <w:szCs w:val="24"/>
        </w:rPr>
        <w:t xml:space="preserve">.  </w:t>
      </w:r>
    </w:p>
    <w:p w:rsidR="00F17FAA" w:rsidRPr="00D0114F" w:rsidRDefault="00F17FAA" w:rsidP="006F63F0">
      <w:pPr>
        <w:widowControl w:val="0"/>
        <w:suppressAutoHyphens/>
        <w:autoSpaceDE w:val="0"/>
        <w:spacing w:before="100" w:after="100" w:line="240" w:lineRule="auto"/>
        <w:jc w:val="both"/>
        <w:rPr>
          <w:rFonts w:ascii="Times New Roman" w:hAnsi="Times New Roman" w:cs="Times New Roman"/>
          <w:sz w:val="24"/>
          <w:szCs w:val="24"/>
        </w:rPr>
      </w:pPr>
    </w:p>
    <w:p w:rsidR="00CD531F" w:rsidRDefault="00CD531F" w:rsidP="002529BF">
      <w:pPr>
        <w:pStyle w:val="Ttulo1"/>
        <w:rPr>
          <w:lang w:val="es-ES_tradnl"/>
        </w:rPr>
      </w:pPr>
      <w:bookmarkStart w:id="9" w:name="_Toc393896810"/>
      <w:bookmarkStart w:id="10" w:name="_Toc418765020"/>
      <w:bookmarkStart w:id="11" w:name="_Toc430959266"/>
    </w:p>
    <w:p w:rsidR="0095132B" w:rsidRPr="001608C9" w:rsidRDefault="0095132B" w:rsidP="002529BF">
      <w:pPr>
        <w:pStyle w:val="Ttulo1"/>
        <w:rPr>
          <w:lang w:val="es-ES_tradnl"/>
        </w:rPr>
      </w:pPr>
      <w:r w:rsidRPr="001608C9">
        <w:rPr>
          <w:lang w:val="es-ES_tradnl"/>
        </w:rPr>
        <w:t>D) El pluralismo social de nuestras democracias constitucionales y su creciente reconocimiento jurisprudencial</w:t>
      </w:r>
      <w:bookmarkEnd w:id="9"/>
      <w:bookmarkEnd w:id="10"/>
      <w:bookmarkEnd w:id="11"/>
    </w:p>
    <w:p w:rsidR="0095132B" w:rsidRPr="00F17FAA" w:rsidRDefault="0095132B" w:rsidP="0095132B">
      <w:pPr>
        <w:spacing w:line="240" w:lineRule="auto"/>
        <w:jc w:val="both"/>
        <w:rPr>
          <w:rFonts w:ascii="Times New Roman" w:hAnsi="Times New Roman" w:cs="Times New Roman"/>
          <w:sz w:val="24"/>
          <w:szCs w:val="24"/>
          <w:lang w:val="es-ES_tradnl"/>
        </w:rPr>
      </w:pPr>
    </w:p>
    <w:p w:rsidR="0095132B" w:rsidRPr="001608C9" w:rsidRDefault="0095132B" w:rsidP="0095132B">
      <w:pPr>
        <w:spacing w:line="240" w:lineRule="auto"/>
        <w:jc w:val="both"/>
        <w:rPr>
          <w:rFonts w:ascii="Times New Roman" w:hAnsi="Times New Roman"/>
          <w:sz w:val="24"/>
          <w:szCs w:val="24"/>
        </w:rPr>
      </w:pPr>
      <w:r w:rsidRPr="001608C9">
        <w:rPr>
          <w:rFonts w:ascii="Times New Roman" w:hAnsi="Times New Roman" w:cs="Times New Roman"/>
          <w:sz w:val="24"/>
          <w:szCs w:val="24"/>
        </w:rPr>
        <w:t>El pluralismo social, cultural y religioso que caracteriza la vida social, política y jurídica de nuestr</w:t>
      </w:r>
      <w:r>
        <w:rPr>
          <w:rFonts w:ascii="Times New Roman" w:hAnsi="Times New Roman" w:cs="Times New Roman"/>
          <w:sz w:val="24"/>
          <w:szCs w:val="24"/>
        </w:rPr>
        <w:t>os días, ha hecho que el ordenamiento jurídico</w:t>
      </w:r>
      <w:r w:rsidRPr="001608C9">
        <w:rPr>
          <w:rFonts w:ascii="Times New Roman" w:hAnsi="Times New Roman" w:cs="Times New Roman"/>
          <w:sz w:val="24"/>
          <w:szCs w:val="24"/>
        </w:rPr>
        <w:t xml:space="preserve"> reconociera esa diversidad de situaciones y tendiera a modalizar las disposiciones normativas generales y los contenidos de los diversos derechos a esas distintas realidades que deben ser reguladas.  Los  fenómenos religioso, artístico, deportivo, laboral, etc. requieren de adaptaciones y desarrollos específicos, al igual que las diversas culturas</w:t>
      </w:r>
      <w:r>
        <w:rPr>
          <w:rFonts w:ascii="Times New Roman" w:hAnsi="Times New Roman" w:cs="Times New Roman"/>
          <w:sz w:val="24"/>
          <w:szCs w:val="24"/>
        </w:rPr>
        <w:t>, grupos sociales</w:t>
      </w:r>
      <w:r w:rsidRPr="001608C9">
        <w:rPr>
          <w:rFonts w:ascii="Times New Roman" w:hAnsi="Times New Roman" w:cs="Times New Roman"/>
          <w:sz w:val="24"/>
          <w:szCs w:val="24"/>
        </w:rPr>
        <w:t xml:space="preserve"> y comunidades que pueden habitar en un mismo territorio. El derecho general, sin renunciar a sus contenidos y cometidos esenciales, se abre y diversifica para lograr en la mayor medida posible que las personas y grupos sociales se encuentren “a gusto” y puedan desarrollar sin indebidas interferencias estatales sus proyectos comunes. Los recientes casos Hosanna-Tabor Evangelical Lutheran Church and School v. Equal Employment Opportunity Commission </w:t>
      </w:r>
      <w:r w:rsidRPr="001608C9">
        <w:rPr>
          <w:rFonts w:ascii="Times New Roman" w:hAnsi="Times New Roman" w:cs="Times New Roman"/>
          <w:smallCaps/>
          <w:sz w:val="24"/>
          <w:szCs w:val="24"/>
        </w:rPr>
        <w:t>et al</w:t>
      </w:r>
      <w:r w:rsidRPr="001608C9">
        <w:rPr>
          <w:rStyle w:val="Refdenotaalpie"/>
          <w:rFonts w:ascii="Times New Roman" w:hAnsi="Times New Roman" w:cs="Times New Roman"/>
          <w:smallCaps/>
          <w:sz w:val="24"/>
          <w:szCs w:val="24"/>
          <w:lang w:val="en-US"/>
        </w:rPr>
        <w:footnoteReference w:id="21"/>
      </w:r>
      <w:r w:rsidRPr="001608C9">
        <w:rPr>
          <w:rFonts w:ascii="Times New Roman" w:hAnsi="Times New Roman" w:cs="Times New Roman"/>
          <w:sz w:val="24"/>
          <w:szCs w:val="24"/>
        </w:rPr>
        <w:t xml:space="preserve"> y Hobby Lobby de la Corte Suprema norteamericana y </w:t>
      </w:r>
      <w:r w:rsidR="00793EF7">
        <w:rPr>
          <w:rFonts w:ascii="Times New Roman" w:hAnsi="Times New Roman" w:cs="Times New Roman"/>
          <w:sz w:val="24"/>
          <w:szCs w:val="24"/>
        </w:rPr>
        <w:t xml:space="preserve">el caso </w:t>
      </w:r>
      <w:r w:rsidRPr="001608C9">
        <w:rPr>
          <w:rFonts w:ascii="Times New Roman" w:hAnsi="Times New Roman"/>
          <w:sz w:val="24"/>
          <w:szCs w:val="24"/>
        </w:rPr>
        <w:t>Sindicatul “Păstorul cel Bun v. Romania</w:t>
      </w:r>
      <w:r w:rsidRPr="001608C9">
        <w:rPr>
          <w:rStyle w:val="Refdenotaalpie"/>
          <w:rFonts w:ascii="Times New Roman" w:hAnsi="Times New Roman"/>
          <w:sz w:val="24"/>
          <w:szCs w:val="24"/>
        </w:rPr>
        <w:footnoteReference w:id="22"/>
      </w:r>
      <w:r w:rsidRPr="001608C9">
        <w:rPr>
          <w:rFonts w:ascii="Times New Roman" w:hAnsi="Times New Roman"/>
          <w:sz w:val="24"/>
          <w:szCs w:val="24"/>
        </w:rPr>
        <w:t>, de la Corte Europea de Derechos Humanos, parecieran ser expresión de esas tendencias.</w:t>
      </w:r>
    </w:p>
    <w:p w:rsidR="0095132B" w:rsidRPr="001608C9" w:rsidRDefault="0095132B" w:rsidP="0095132B">
      <w:pPr>
        <w:spacing w:line="240" w:lineRule="auto"/>
        <w:jc w:val="both"/>
        <w:rPr>
          <w:rFonts w:ascii="Times New Roman" w:hAnsi="Times New Roman" w:cs="Times New Roman"/>
          <w:sz w:val="24"/>
          <w:szCs w:val="24"/>
        </w:rPr>
      </w:pPr>
      <w:r w:rsidRPr="001608C9">
        <w:rPr>
          <w:rFonts w:ascii="Times New Roman" w:hAnsi="Times New Roman" w:cs="Times New Roman"/>
          <w:sz w:val="24"/>
          <w:szCs w:val="24"/>
        </w:rPr>
        <w:t xml:space="preserve">En los casos Hosanna-Tabor y </w:t>
      </w:r>
      <w:r w:rsidRPr="001608C9">
        <w:rPr>
          <w:rFonts w:ascii="Times New Roman" w:hAnsi="Times New Roman"/>
          <w:sz w:val="24"/>
          <w:szCs w:val="24"/>
        </w:rPr>
        <w:t xml:space="preserve">Sindicatul “Păstorul cel Bun, </w:t>
      </w:r>
      <w:r w:rsidRPr="001608C9">
        <w:rPr>
          <w:rFonts w:ascii="Times New Roman" w:hAnsi="Times New Roman" w:cs="Times New Roman"/>
          <w:sz w:val="24"/>
          <w:szCs w:val="24"/>
        </w:rPr>
        <w:t xml:space="preserve">se discutían conflictos entre comunidades religiosas y sus ministros. Ambos casos presentaban situaciones jurídicamente muy discutibles y opinables, que fueron resueltas por los tribunales dando primacía y privilegiando el principio de autonomía de las entidades religiosas, particularmente en lo referente a las relaciones entre ellas y sus ministros. </w:t>
      </w:r>
    </w:p>
    <w:p w:rsidR="0095132B" w:rsidRPr="001608C9" w:rsidRDefault="0095132B" w:rsidP="0095132B">
      <w:pPr>
        <w:spacing w:line="240" w:lineRule="auto"/>
        <w:jc w:val="both"/>
        <w:rPr>
          <w:rFonts w:ascii="Times New Roman" w:hAnsi="Times New Roman" w:cs="Times New Roman"/>
          <w:sz w:val="24"/>
          <w:szCs w:val="24"/>
        </w:rPr>
      </w:pPr>
      <w:r w:rsidRPr="001608C9">
        <w:rPr>
          <w:rFonts w:ascii="Times New Roman" w:hAnsi="Times New Roman" w:cs="Times New Roman"/>
          <w:sz w:val="24"/>
          <w:szCs w:val="24"/>
        </w:rPr>
        <w:t xml:space="preserve">Ambos tribunales reconocieron que las leyes laborales generales y los derechos humanos relativos a los trabajadores no podían ser aplicados sin más a las relaciones entre los ministros y sus comunidades religiosas. El fenómeno religioso reclama una cierta modalización y adaptación de los principios generales a la específica realidad del fenómeno religioso en su dimensión social. </w:t>
      </w:r>
    </w:p>
    <w:p w:rsidR="0095132B" w:rsidRPr="001608C9" w:rsidRDefault="0095132B" w:rsidP="0095132B">
      <w:pPr>
        <w:spacing w:line="240" w:lineRule="auto"/>
        <w:jc w:val="both"/>
        <w:rPr>
          <w:rFonts w:ascii="Times New Roman" w:hAnsi="Times New Roman" w:cs="Times New Roman"/>
          <w:sz w:val="24"/>
          <w:szCs w:val="24"/>
        </w:rPr>
      </w:pPr>
      <w:r w:rsidRPr="001608C9">
        <w:rPr>
          <w:rFonts w:ascii="Times New Roman" w:hAnsi="Times New Roman" w:cs="Times New Roman"/>
          <w:sz w:val="24"/>
          <w:szCs w:val="24"/>
        </w:rPr>
        <w:t>En el caso resuelto por la Cort</w:t>
      </w:r>
      <w:r>
        <w:rPr>
          <w:rFonts w:ascii="Times New Roman" w:hAnsi="Times New Roman" w:cs="Times New Roman"/>
          <w:sz w:val="24"/>
          <w:szCs w:val="24"/>
        </w:rPr>
        <w:t>e norteamericana, ella señaló</w:t>
      </w:r>
      <w:r w:rsidRPr="001608C9">
        <w:rPr>
          <w:rFonts w:ascii="Times New Roman" w:hAnsi="Times New Roman" w:cs="Times New Roman"/>
          <w:sz w:val="24"/>
          <w:szCs w:val="24"/>
        </w:rPr>
        <w:t xml:space="preserve"> que, más allá de la arbitrariedad o no de la decisión adoptada en torno al despido, no era procedente la aplicación al caso de las leyes laborales sobre despido arbitrio y/o discriminatorio vigente en el país en las relaciones entre la comunidad religiosa y sus ministros. Existe en esta materia una “excepción ministerial” que impide esa aplicación directa e inmediata y el tribunal privilegia la no intromisión de las autoridades públicas en los conflictos que se suscitan entre las iglesias y sus ministros. El dique de separación entre autoridades civiles y religiosas impide que las primeras se entrometan en las cuestiones propias de las últimas. Es muy interesante la mención que, p. ej., no podría considerarse discriminatorio y contrario al derecho a la igualdad que la ordenación sacerdotal esté reservada en la Iglesia Católica sólo a los varones. </w:t>
      </w:r>
      <w:r w:rsidRPr="001608C9">
        <w:rPr>
          <w:rFonts w:ascii="Times New Roman" w:hAnsi="Times New Roman" w:cs="Times New Roman"/>
          <w:sz w:val="24"/>
          <w:szCs w:val="24"/>
        </w:rPr>
        <w:lastRenderedPageBreak/>
        <w:t>Este respeto a la esfera propia del fenómeno religioso viene, a criterio del máximo tribunal norteamericano, exigida constitucionalmente.</w:t>
      </w:r>
    </w:p>
    <w:p w:rsidR="0095132B" w:rsidRPr="001608C9" w:rsidRDefault="0095132B" w:rsidP="0095132B">
      <w:pPr>
        <w:spacing w:line="240" w:lineRule="auto"/>
        <w:jc w:val="both"/>
        <w:rPr>
          <w:rFonts w:ascii="Times New Roman" w:hAnsi="Times New Roman" w:cs="Times New Roman"/>
          <w:sz w:val="24"/>
          <w:szCs w:val="24"/>
        </w:rPr>
      </w:pPr>
      <w:r w:rsidRPr="001608C9">
        <w:rPr>
          <w:rFonts w:ascii="Times New Roman" w:hAnsi="Times New Roman" w:cs="Times New Roman"/>
          <w:sz w:val="24"/>
          <w:szCs w:val="24"/>
        </w:rPr>
        <w:t>En el fallo dictado por la Gran Sala de la  C</w:t>
      </w:r>
      <w:r w:rsidR="00793EF7">
        <w:rPr>
          <w:rFonts w:ascii="Times New Roman" w:hAnsi="Times New Roman" w:cs="Times New Roman"/>
          <w:sz w:val="24"/>
          <w:szCs w:val="24"/>
        </w:rPr>
        <w:t xml:space="preserve">orte </w:t>
      </w:r>
      <w:r w:rsidRPr="001608C9">
        <w:rPr>
          <w:rFonts w:ascii="Times New Roman" w:hAnsi="Times New Roman" w:cs="Times New Roman"/>
          <w:sz w:val="24"/>
          <w:szCs w:val="24"/>
        </w:rPr>
        <w:t>EDH, se considera que los sacerdotes de la Iglesia Ortodoxa rumana no gozan, en virtud del particular vínculo que los une a ella, del derecho de asociación sindical con el mismo alcance que los trabajadores comunes. Las peculiaridades del fenómeno religioso y la autonomía propia de las organizaciones religiosas requieren de una modalización del ejercicio ese derecho para adaptarlo a la realidad concreta y situada en la cual opera. El derecho de asociación gremial</w:t>
      </w:r>
      <w:r>
        <w:rPr>
          <w:rFonts w:ascii="Times New Roman" w:hAnsi="Times New Roman" w:cs="Times New Roman"/>
          <w:sz w:val="24"/>
          <w:szCs w:val="24"/>
        </w:rPr>
        <w:t>,</w:t>
      </w:r>
      <w:r w:rsidRPr="001608C9">
        <w:rPr>
          <w:rFonts w:ascii="Times New Roman" w:hAnsi="Times New Roman" w:cs="Times New Roman"/>
          <w:sz w:val="24"/>
          <w:szCs w:val="24"/>
        </w:rPr>
        <w:t xml:space="preserve"> e incluso el propio principio de legalidad en la regulación de los derechos humanos</w:t>
      </w:r>
      <w:r>
        <w:rPr>
          <w:rFonts w:ascii="Times New Roman" w:hAnsi="Times New Roman" w:cs="Times New Roman"/>
          <w:sz w:val="24"/>
          <w:szCs w:val="24"/>
        </w:rPr>
        <w:t>,</w:t>
      </w:r>
      <w:r w:rsidRPr="001608C9">
        <w:rPr>
          <w:rFonts w:ascii="Times New Roman" w:hAnsi="Times New Roman" w:cs="Times New Roman"/>
          <w:sz w:val="24"/>
          <w:szCs w:val="24"/>
        </w:rPr>
        <w:t xml:space="preserve"> se reelaboran de cara a su aplicación a la solución de este caso concreto relativo al fenómeno eclesial.</w:t>
      </w:r>
    </w:p>
    <w:p w:rsidR="0095132B" w:rsidRPr="001608C9" w:rsidRDefault="0095132B" w:rsidP="0095132B">
      <w:pPr>
        <w:spacing w:line="240" w:lineRule="auto"/>
        <w:jc w:val="both"/>
        <w:rPr>
          <w:rFonts w:ascii="Times New Roman" w:hAnsi="Times New Roman" w:cs="Times New Roman"/>
          <w:sz w:val="24"/>
          <w:szCs w:val="24"/>
        </w:rPr>
      </w:pPr>
      <w:r w:rsidRPr="001608C9">
        <w:rPr>
          <w:rFonts w:ascii="Times New Roman" w:hAnsi="Times New Roman" w:cs="Times New Roman"/>
          <w:sz w:val="24"/>
          <w:szCs w:val="24"/>
        </w:rPr>
        <w:t xml:space="preserve">En la resolución de ambos fallos subyace una concepción pluralista de la sociedad democrática, con un reconocimiento de las distintas realidades </w:t>
      </w:r>
      <w:r>
        <w:rPr>
          <w:rFonts w:ascii="Times New Roman" w:hAnsi="Times New Roman" w:cs="Times New Roman"/>
          <w:sz w:val="24"/>
          <w:szCs w:val="24"/>
        </w:rPr>
        <w:t>que</w:t>
      </w:r>
      <w:r w:rsidRPr="001608C9">
        <w:rPr>
          <w:rFonts w:ascii="Times New Roman" w:hAnsi="Times New Roman" w:cs="Times New Roman"/>
          <w:sz w:val="24"/>
          <w:szCs w:val="24"/>
        </w:rPr>
        <w:t xml:space="preserve"> la conforman, muy especialmente de los grupos religiosos que en ella habitan. El respeto a esta dimensión social</w:t>
      </w:r>
      <w:r>
        <w:rPr>
          <w:rFonts w:ascii="Times New Roman" w:hAnsi="Times New Roman" w:cs="Times New Roman"/>
          <w:sz w:val="24"/>
          <w:szCs w:val="24"/>
        </w:rPr>
        <w:t>,</w:t>
      </w:r>
      <w:r w:rsidRPr="001608C9">
        <w:rPr>
          <w:rFonts w:ascii="Times New Roman" w:hAnsi="Times New Roman" w:cs="Times New Roman"/>
          <w:sz w:val="24"/>
          <w:szCs w:val="24"/>
        </w:rPr>
        <w:t xml:space="preserve"> propia de la libertad religiosa</w:t>
      </w:r>
      <w:r>
        <w:rPr>
          <w:rFonts w:ascii="Times New Roman" w:hAnsi="Times New Roman" w:cs="Times New Roman"/>
          <w:sz w:val="24"/>
          <w:szCs w:val="24"/>
        </w:rPr>
        <w:t>,</w:t>
      </w:r>
      <w:r w:rsidRPr="001608C9">
        <w:rPr>
          <w:rFonts w:ascii="Times New Roman" w:hAnsi="Times New Roman" w:cs="Times New Roman"/>
          <w:sz w:val="24"/>
          <w:szCs w:val="24"/>
        </w:rPr>
        <w:t xml:space="preserve"> se hace cargo de la </w:t>
      </w:r>
      <w:r>
        <w:rPr>
          <w:rFonts w:ascii="Times New Roman" w:hAnsi="Times New Roman" w:cs="Times New Roman"/>
          <w:sz w:val="24"/>
          <w:szCs w:val="24"/>
        </w:rPr>
        <w:t>compleja</w:t>
      </w:r>
      <w:r w:rsidRPr="001608C9">
        <w:rPr>
          <w:rFonts w:ascii="Times New Roman" w:hAnsi="Times New Roman" w:cs="Times New Roman"/>
          <w:sz w:val="24"/>
          <w:szCs w:val="24"/>
        </w:rPr>
        <w:t xml:space="preserve"> realidad social y cultural de nuestros días, crea espacios de libertad y propicia una convivencia armónica y pacífica entre las autoridades civiles y religiosas en bien de la persona humana y de la sociedad en su conjunto.</w:t>
      </w:r>
    </w:p>
    <w:p w:rsidR="0095132B" w:rsidRDefault="0095132B" w:rsidP="0095132B">
      <w:pPr>
        <w:spacing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Por su parte, e</w:t>
      </w:r>
      <w:r w:rsidRPr="00547AD5">
        <w:rPr>
          <w:rFonts w:ascii="Times New Roman" w:hAnsi="Times New Roman" w:cs="Times New Roman"/>
          <w:sz w:val="24"/>
          <w:szCs w:val="24"/>
        </w:rPr>
        <w:t xml:space="preserve">n el caso </w:t>
      </w:r>
      <w:r w:rsidR="00890E2A">
        <w:rPr>
          <w:rFonts w:ascii="Times New Roman" w:hAnsi="Times New Roman" w:cs="Times New Roman"/>
          <w:sz w:val="24"/>
          <w:szCs w:val="24"/>
        </w:rPr>
        <w:t>“</w:t>
      </w:r>
      <w:r w:rsidRPr="00547AD5">
        <w:rPr>
          <w:rFonts w:ascii="Times New Roman" w:hAnsi="Times New Roman" w:cs="Times New Roman"/>
          <w:sz w:val="24"/>
          <w:szCs w:val="24"/>
        </w:rPr>
        <w:t>Hobby Lobby</w:t>
      </w:r>
      <w:r w:rsidR="00890E2A">
        <w:rPr>
          <w:rFonts w:ascii="Times New Roman" w:hAnsi="Times New Roman" w:cs="Times New Roman"/>
          <w:sz w:val="24"/>
          <w:szCs w:val="24"/>
        </w:rPr>
        <w:t>”</w:t>
      </w:r>
      <w:r w:rsidRPr="00547AD5">
        <w:rPr>
          <w:rFonts w:ascii="Times New Roman" w:hAnsi="Times New Roman" w:cs="Times New Roman"/>
          <w:sz w:val="24"/>
          <w:szCs w:val="24"/>
        </w:rPr>
        <w:t xml:space="preserve">, resuelto </w:t>
      </w:r>
      <w:r w:rsidRPr="00547AD5">
        <w:rPr>
          <w:rFonts w:ascii="Times New Roman" w:eastAsia="Times New Roman" w:hAnsi="Times New Roman" w:cs="Times New Roman"/>
          <w:color w:val="000000"/>
          <w:sz w:val="24"/>
          <w:szCs w:val="24"/>
        </w:rPr>
        <w:t>el 30 de junio de 2014 la Corte Suprema de los Estados Unidos dispuso, por 5 a 4 votos, que en razón de la libertad religiosa protegida por la Ley de Restauración de la Libertad Religiosa de 1993 (Religious Freedom Restoration Act, RFRA), es inválido el mandato contraceptivo dictado por el Departamento de Salud (HHS) que obliga a empresas con fines de lucro pertenecientes a dueños con convicciones religiosas contrarias al aborto, a financiar cuatro métodos anticonceptivos que tienen efecto abortivo</w:t>
      </w:r>
      <w:r w:rsidR="00A64874">
        <w:rPr>
          <w:rStyle w:val="Refdenotaalpie"/>
          <w:rFonts w:ascii="Times New Roman" w:eastAsia="Times New Roman" w:hAnsi="Times New Roman" w:cs="Times New Roman"/>
          <w:color w:val="000000"/>
          <w:sz w:val="24"/>
          <w:szCs w:val="24"/>
        </w:rPr>
        <w:footnoteReference w:id="23"/>
      </w:r>
      <w:r w:rsidRPr="00547AD5">
        <w:rPr>
          <w:rFonts w:ascii="Times New Roman" w:eastAsia="Times New Roman" w:hAnsi="Times New Roman" w:cs="Times New Roman"/>
          <w:color w:val="000000"/>
          <w:sz w:val="24"/>
          <w:szCs w:val="24"/>
        </w:rPr>
        <w:t xml:space="preserve">. El voto de la mayoría en el caso "Hobby Lobby" fue redactado el juez Samuel Alito, y fue suscripto por el presidente de la Corte, John Roberts, y los jueces Antonin Scalia, Clarence Thomas y Anthony M. Kennedy (según su voto), mientras que Ruth Bader Ginsburg redactó un voto en disidencia, acompañado por la jueza Sonia Sotomayor y, parcialmente, por los jueces Stephen Breyer y Elena Kagan, que también conformaron la minoría. La mayoría de la Corte adopta como punto de partida la ley de libertad religiosa (RFRA) y se pregunta si esta ley permite al Departamento de Salud demandar el cumplimiento de prestaciones de salud reproductiva que violentan las convicciones religiosas de los dueños de las compañías Hobby Lobby, Mardel y Conestoga. Para la Corte, las regulaciones que imponen esa obligación violan la RFRA, que prohíbe al gobierno federal tomar cualquier medida que signifique una restricción sustantiva para el ejercicio de la religión, salvo que esa medida sea el medio menos restrictivo de cumplir con el interés sustancial estatal en juego. Según la Corte, el mandato del Departamento de Salud "oprime gravemente el ejercicio de la religión". "Si los propietarios se adhieren al mandato de HHS, facilitarán el aborto, y si no se adhieren, pagarán una multa muy alta, hasta 1,3 millones de dólares por día, cerca de 475 millones de dólares al año, en el caso de una de estas empresas". "Es obvio que estas </w:t>
      </w:r>
      <w:r w:rsidRPr="00547AD5">
        <w:rPr>
          <w:rFonts w:ascii="Times New Roman" w:eastAsia="Times New Roman" w:hAnsi="Times New Roman" w:cs="Times New Roman"/>
          <w:color w:val="000000"/>
          <w:sz w:val="24"/>
          <w:szCs w:val="24"/>
        </w:rPr>
        <w:lastRenderedPageBreak/>
        <w:t>consecuencias son equivalentes a una fuerte opresión"</w:t>
      </w:r>
      <w:r w:rsidRPr="009B38BB">
        <w:rPr>
          <w:rStyle w:val="Refdenotaalpie"/>
        </w:rPr>
        <w:footnoteReference w:id="24"/>
      </w:r>
      <w:r w:rsidRPr="00547AD5">
        <w:rPr>
          <w:rFonts w:ascii="Times New Roman" w:eastAsia="Times New Roman" w:hAnsi="Times New Roman" w:cs="Times New Roman"/>
          <w:color w:val="000000"/>
          <w:sz w:val="24"/>
          <w:szCs w:val="24"/>
        </w:rPr>
        <w:t>. Esta decisión resuelve los planteos iniciados por personas jurídicas con fines de lucro. Mientras tanto, se aguarda una decisión sobre otras organizaciones no lucrativas, como Sacerdotes por la Vida o la congregación de Little Sisters que todavía están litigando para su exclusión del mandato contraceptivo. Una de las fundadoras de Hobby Lobby, Barbara Green, afirmó: "Nuestra familia ha acogido con gran alegría la decisión de la Corte Suprema. Hoy la Corte más importante de los Estados Unidos reafirmó la importancia vital de la libertad religiosa como un principio fundamental del país. Es una victoria no sólo para nuestra empresa, sino para todos aquellos que quieren vivir su fe. Estamos muy agradecidos con Dios y con los que nos han apoyado en este largo y difícil camino"</w:t>
      </w:r>
      <w:r>
        <w:rPr>
          <w:rStyle w:val="Refdenotaalpie"/>
          <w:rFonts w:ascii="Times New Roman" w:eastAsia="Times New Roman" w:hAnsi="Times New Roman" w:cs="Times New Roman"/>
          <w:color w:val="000000"/>
          <w:sz w:val="24"/>
          <w:szCs w:val="24"/>
        </w:rPr>
        <w:footnoteReference w:id="25"/>
      </w:r>
      <w:r w:rsidRPr="00547AD5">
        <w:rPr>
          <w:rFonts w:ascii="Times New Roman" w:eastAsia="Times New Roman" w:hAnsi="Times New Roman" w:cs="Times New Roman"/>
          <w:color w:val="000000"/>
          <w:sz w:val="24"/>
          <w:szCs w:val="24"/>
        </w:rPr>
        <w:t>.</w:t>
      </w:r>
    </w:p>
    <w:p w:rsidR="00657196" w:rsidRPr="00657196" w:rsidRDefault="00657196" w:rsidP="00657196">
      <w:pPr>
        <w:autoSpaceDE w:val="0"/>
        <w:autoSpaceDN w:val="0"/>
        <w:adjustRightInd w:val="0"/>
        <w:spacing w:after="0" w:line="240" w:lineRule="auto"/>
        <w:jc w:val="both"/>
        <w:rPr>
          <w:rFonts w:ascii="Times New Roman" w:hAnsi="Times New Roman" w:cs="Times New Roman"/>
          <w:sz w:val="24"/>
          <w:szCs w:val="24"/>
        </w:rPr>
      </w:pPr>
    </w:p>
    <w:p w:rsidR="00657196" w:rsidRPr="00657196" w:rsidRDefault="00890E2A" w:rsidP="00657196">
      <w:pPr>
        <w:pStyle w:val="Textonotapie"/>
        <w:jc w:val="both"/>
        <w:rPr>
          <w:rFonts w:ascii="Times New Roman" w:hAnsi="Times New Roman" w:cs="Times New Roman"/>
          <w:sz w:val="24"/>
          <w:szCs w:val="24"/>
        </w:rPr>
      </w:pPr>
      <w:r>
        <w:rPr>
          <w:rFonts w:ascii="Times New Roman" w:hAnsi="Times New Roman" w:cs="Times New Roman"/>
          <w:sz w:val="24"/>
          <w:szCs w:val="24"/>
        </w:rPr>
        <w:t>Cabe también mencionar que e</w:t>
      </w:r>
      <w:r w:rsidR="00657196" w:rsidRPr="00657196">
        <w:rPr>
          <w:rFonts w:ascii="Times New Roman" w:hAnsi="Times New Roman" w:cs="Times New Roman"/>
          <w:sz w:val="24"/>
          <w:szCs w:val="24"/>
        </w:rPr>
        <w:t xml:space="preserve">n mayo de 2005 el Estado de Massachusetts introdujo en su legislación una cláusula de conciencia para que ningún científico fuera obligado a efectuar investigaciones  que supongan la creación o utilización de embriones pre-implantados en relación a la investigación con células madres. También </w:t>
      </w:r>
      <w:r>
        <w:rPr>
          <w:rFonts w:ascii="Times New Roman" w:hAnsi="Times New Roman" w:cs="Times New Roman"/>
          <w:sz w:val="24"/>
          <w:szCs w:val="24"/>
        </w:rPr>
        <w:t xml:space="preserve">puede señalarse que </w:t>
      </w:r>
      <w:r w:rsidR="00657196" w:rsidRPr="00657196">
        <w:rPr>
          <w:rFonts w:ascii="Times New Roman" w:hAnsi="Times New Roman" w:cs="Times New Roman"/>
          <w:sz w:val="24"/>
          <w:szCs w:val="24"/>
        </w:rPr>
        <w:t>una corte de apelación del estado de California tuteló el derecho de dos médicos que se negaban por motivos de conciencia a realizar una inseminación artificial de una mujer lesbiana.</w:t>
      </w:r>
    </w:p>
    <w:p w:rsidR="00657196" w:rsidRDefault="00657196" w:rsidP="00657196">
      <w:pPr>
        <w:autoSpaceDE w:val="0"/>
        <w:autoSpaceDN w:val="0"/>
        <w:adjustRightInd w:val="0"/>
        <w:spacing w:after="0" w:line="240" w:lineRule="auto"/>
        <w:jc w:val="both"/>
        <w:rPr>
          <w:rFonts w:ascii="Times New Roman" w:hAnsi="Times New Roman" w:cs="Times New Roman"/>
          <w:sz w:val="24"/>
          <w:szCs w:val="24"/>
        </w:rPr>
      </w:pPr>
    </w:p>
    <w:p w:rsidR="00657196" w:rsidRPr="00657196" w:rsidRDefault="00657196" w:rsidP="00657196">
      <w:pPr>
        <w:autoSpaceDE w:val="0"/>
        <w:autoSpaceDN w:val="0"/>
        <w:adjustRightInd w:val="0"/>
        <w:spacing w:after="0" w:line="240" w:lineRule="auto"/>
        <w:jc w:val="both"/>
        <w:rPr>
          <w:rFonts w:ascii="Times New Roman" w:hAnsi="Times New Roman" w:cs="Times New Roman"/>
          <w:sz w:val="24"/>
          <w:szCs w:val="24"/>
        </w:rPr>
      </w:pPr>
      <w:r w:rsidRPr="00657196">
        <w:rPr>
          <w:rFonts w:ascii="Times New Roman" w:hAnsi="Times New Roman" w:cs="Times New Roman"/>
          <w:sz w:val="24"/>
          <w:szCs w:val="24"/>
        </w:rPr>
        <w:t xml:space="preserve">En nuestro país, </w:t>
      </w:r>
      <w:r w:rsidR="00890E2A">
        <w:rPr>
          <w:rFonts w:ascii="Times New Roman" w:hAnsi="Times New Roman" w:cs="Times New Roman"/>
          <w:sz w:val="24"/>
          <w:szCs w:val="24"/>
        </w:rPr>
        <w:t xml:space="preserve">recientemente </w:t>
      </w:r>
      <w:r w:rsidRPr="00657196">
        <w:rPr>
          <w:rFonts w:ascii="Times New Roman" w:hAnsi="Times New Roman" w:cs="Times New Roman"/>
          <w:sz w:val="24"/>
          <w:szCs w:val="24"/>
        </w:rPr>
        <w:t>un tribunal cordobés tuteló la oposición la oposición del servicio médico del Sanatorio Allende de esa provincia a realizar una inducción de parto de un niño anancefálico y señaló: “La objeción de conciencia institucional, planteada por un centro asistencial privado en el que se atiende una</w:t>
      </w:r>
      <w:r>
        <w:rPr>
          <w:rFonts w:ascii="Times New Roman" w:hAnsi="Times New Roman" w:cs="Times New Roman"/>
          <w:sz w:val="24"/>
          <w:szCs w:val="24"/>
        </w:rPr>
        <w:t xml:space="preserve"> </w:t>
      </w:r>
      <w:r w:rsidRPr="00657196">
        <w:rPr>
          <w:rFonts w:ascii="Times New Roman" w:hAnsi="Times New Roman" w:cs="Times New Roman"/>
          <w:sz w:val="24"/>
          <w:szCs w:val="24"/>
        </w:rPr>
        <w:t>mujer gestante de un feto inviable que pretende que se le practique un parto inducido, es de recibo, pues existe</w:t>
      </w:r>
      <w:r>
        <w:rPr>
          <w:rFonts w:ascii="Times New Roman" w:hAnsi="Times New Roman" w:cs="Times New Roman"/>
          <w:sz w:val="24"/>
          <w:szCs w:val="24"/>
        </w:rPr>
        <w:t xml:space="preserve"> </w:t>
      </w:r>
      <w:r w:rsidRPr="00657196">
        <w:rPr>
          <w:rFonts w:ascii="Times New Roman" w:hAnsi="Times New Roman" w:cs="Times New Roman"/>
          <w:sz w:val="24"/>
          <w:szCs w:val="24"/>
        </w:rPr>
        <w:t>la posibilidad cierta de que otro establecimiento, público o privado, lleve a cabo la practica requerida</w:t>
      </w:r>
      <w:r>
        <w:rPr>
          <w:rFonts w:ascii="Times New Roman" w:hAnsi="Times New Roman" w:cs="Times New Roman"/>
          <w:sz w:val="24"/>
          <w:szCs w:val="24"/>
        </w:rPr>
        <w:t>”</w:t>
      </w:r>
      <w:r w:rsidRPr="00657196">
        <w:rPr>
          <w:rFonts w:ascii="Times New Roman" w:hAnsi="Times New Roman" w:cs="Times New Roman"/>
          <w:sz w:val="24"/>
          <w:szCs w:val="24"/>
        </w:rPr>
        <w:t>.</w:t>
      </w:r>
    </w:p>
    <w:p w:rsidR="00890E2A" w:rsidRDefault="00890E2A" w:rsidP="0095132B">
      <w:pPr>
        <w:spacing w:line="240" w:lineRule="auto"/>
        <w:jc w:val="both"/>
        <w:rPr>
          <w:rFonts w:ascii="Times New Roman" w:eastAsia="Times New Roman" w:hAnsi="Times New Roman" w:cs="Times New Roman"/>
          <w:color w:val="000000"/>
          <w:sz w:val="24"/>
          <w:szCs w:val="24"/>
        </w:rPr>
      </w:pPr>
    </w:p>
    <w:p w:rsidR="0095132B" w:rsidRDefault="0095132B" w:rsidP="0095132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Estos fallos recientes</w:t>
      </w:r>
      <w:r w:rsidR="00890E2A">
        <w:rPr>
          <w:rFonts w:ascii="Times New Roman" w:eastAsia="Times New Roman" w:hAnsi="Times New Roman" w:cs="Times New Roman"/>
          <w:color w:val="000000"/>
          <w:sz w:val="24"/>
          <w:szCs w:val="24"/>
        </w:rPr>
        <w:t>, tanto nacionales como internacionales,</w:t>
      </w:r>
      <w:r>
        <w:rPr>
          <w:rFonts w:ascii="Times New Roman" w:eastAsia="Times New Roman" w:hAnsi="Times New Roman" w:cs="Times New Roman"/>
          <w:color w:val="000000"/>
          <w:sz w:val="24"/>
          <w:szCs w:val="24"/>
        </w:rPr>
        <w:t xml:space="preserve"> que hemos reseñado muestran una tendencia creciente a reconocer la autonomía e identidad de grupos sociales y las proyecciones ju</w:t>
      </w:r>
      <w:r w:rsidR="00890E2A">
        <w:rPr>
          <w:rFonts w:ascii="Times New Roman" w:eastAsia="Times New Roman" w:hAnsi="Times New Roman" w:cs="Times New Roman"/>
          <w:color w:val="000000"/>
          <w:sz w:val="24"/>
          <w:szCs w:val="24"/>
        </w:rPr>
        <w:t>rídicas que de ellas se derivan, entre los que se encuentra el derecho a actuar en todos los conforme  a los principios que inspiran su ideario.</w:t>
      </w:r>
    </w:p>
    <w:p w:rsidR="0095132B" w:rsidRDefault="002B302A" w:rsidP="002529BF">
      <w:pPr>
        <w:pStyle w:val="Ttulo1"/>
      </w:pPr>
      <w:bookmarkStart w:id="12" w:name="_Toc430959267"/>
      <w:r>
        <w:lastRenderedPageBreak/>
        <w:t>E) Conclusiones</w:t>
      </w:r>
      <w:bookmarkEnd w:id="12"/>
    </w:p>
    <w:p w:rsidR="00890E2A" w:rsidRDefault="00890E2A" w:rsidP="00890E2A"/>
    <w:p w:rsidR="00890E2A" w:rsidRPr="009B179F" w:rsidRDefault="00890E2A" w:rsidP="00890E2A">
      <w:pPr>
        <w:rPr>
          <w:rFonts w:ascii="Times New Roman" w:hAnsi="Times New Roman" w:cs="Times New Roman"/>
          <w:sz w:val="24"/>
          <w:szCs w:val="24"/>
        </w:rPr>
      </w:pPr>
      <w:r w:rsidRPr="009B179F">
        <w:rPr>
          <w:rFonts w:ascii="Times New Roman" w:hAnsi="Times New Roman" w:cs="Times New Roman"/>
          <w:sz w:val="24"/>
          <w:szCs w:val="24"/>
        </w:rPr>
        <w:t>Luego del análisis que hemos realizado, podemos llegar a las siguientes conclusiones:</w:t>
      </w:r>
    </w:p>
    <w:p w:rsidR="00890E2A" w:rsidRDefault="00890E2A" w:rsidP="00793EF7">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Existen en la realidad social numerosas instituciones con un ideario inspirado en valores y principios religiosos;</w:t>
      </w:r>
    </w:p>
    <w:p w:rsidR="00CD531F" w:rsidRDefault="00CD531F" w:rsidP="00793EF7">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Se han dictado en varios países disposiciones legal</w:t>
      </w:r>
      <w:r w:rsidR="00D07ABF">
        <w:rPr>
          <w:rFonts w:ascii="Times New Roman" w:hAnsi="Times New Roman" w:cs="Times New Roman"/>
          <w:sz w:val="24"/>
          <w:szCs w:val="24"/>
        </w:rPr>
        <w:t xml:space="preserve">es que imponen algunas prácticas, contenidos o criterios </w:t>
      </w:r>
      <w:r>
        <w:rPr>
          <w:rFonts w:ascii="Times New Roman" w:hAnsi="Times New Roman" w:cs="Times New Roman"/>
          <w:sz w:val="24"/>
          <w:szCs w:val="24"/>
        </w:rPr>
        <w:t>que contradicen abiertamente los valores y principios de base religiosa o ética contenidos en esos idearios;</w:t>
      </w:r>
    </w:p>
    <w:p w:rsidR="002B302A" w:rsidRPr="00793EF7" w:rsidRDefault="002B302A" w:rsidP="00793EF7">
      <w:pPr>
        <w:pStyle w:val="Prrafodelista"/>
        <w:numPr>
          <w:ilvl w:val="0"/>
          <w:numId w:val="3"/>
        </w:numPr>
        <w:jc w:val="both"/>
        <w:rPr>
          <w:rFonts w:ascii="Times New Roman" w:hAnsi="Times New Roman" w:cs="Times New Roman"/>
          <w:sz w:val="24"/>
          <w:szCs w:val="24"/>
        </w:rPr>
      </w:pPr>
      <w:r w:rsidRPr="00793EF7">
        <w:rPr>
          <w:rFonts w:ascii="Times New Roman" w:hAnsi="Times New Roman" w:cs="Times New Roman"/>
          <w:sz w:val="24"/>
          <w:szCs w:val="24"/>
        </w:rPr>
        <w:t>El derecho</w:t>
      </w:r>
      <w:r w:rsidR="00F423EA">
        <w:rPr>
          <w:rFonts w:ascii="Times New Roman" w:hAnsi="Times New Roman" w:cs="Times New Roman"/>
          <w:sz w:val="24"/>
          <w:szCs w:val="24"/>
        </w:rPr>
        <w:t>, como lo viene realizando en las últimas décadas,</w:t>
      </w:r>
      <w:r w:rsidRPr="00793EF7">
        <w:rPr>
          <w:rFonts w:ascii="Times New Roman" w:hAnsi="Times New Roman" w:cs="Times New Roman"/>
          <w:sz w:val="24"/>
          <w:szCs w:val="24"/>
        </w:rPr>
        <w:t xml:space="preserve"> ha</w:t>
      </w:r>
      <w:r w:rsidR="00CD531F">
        <w:rPr>
          <w:rFonts w:ascii="Times New Roman" w:hAnsi="Times New Roman" w:cs="Times New Roman"/>
          <w:sz w:val="24"/>
          <w:szCs w:val="24"/>
        </w:rPr>
        <w:t xml:space="preserve"> de reconocer y brindar </w:t>
      </w:r>
      <w:r w:rsidR="00890E2A">
        <w:rPr>
          <w:rFonts w:ascii="Times New Roman" w:hAnsi="Times New Roman" w:cs="Times New Roman"/>
          <w:sz w:val="24"/>
          <w:szCs w:val="24"/>
        </w:rPr>
        <w:t xml:space="preserve">un régimen jurídico con algunas particularidades </w:t>
      </w:r>
      <w:r w:rsidR="00F423EA">
        <w:rPr>
          <w:rFonts w:ascii="Times New Roman" w:hAnsi="Times New Roman" w:cs="Times New Roman"/>
          <w:sz w:val="24"/>
          <w:szCs w:val="24"/>
        </w:rPr>
        <w:t xml:space="preserve">propias </w:t>
      </w:r>
      <w:r w:rsidR="00890E2A">
        <w:rPr>
          <w:rFonts w:ascii="Times New Roman" w:hAnsi="Times New Roman" w:cs="Times New Roman"/>
          <w:sz w:val="24"/>
          <w:szCs w:val="24"/>
        </w:rPr>
        <w:t>en relación con esta clase de</w:t>
      </w:r>
      <w:r w:rsidRPr="00793EF7">
        <w:rPr>
          <w:rFonts w:ascii="Times New Roman" w:hAnsi="Times New Roman" w:cs="Times New Roman"/>
          <w:sz w:val="24"/>
          <w:szCs w:val="24"/>
        </w:rPr>
        <w:t xml:space="preserve"> instituciones que tienen un ideario de inspiración religiosa</w:t>
      </w:r>
      <w:r w:rsidR="004D0C18">
        <w:rPr>
          <w:rFonts w:ascii="Times New Roman" w:hAnsi="Times New Roman" w:cs="Times New Roman"/>
          <w:sz w:val="24"/>
          <w:szCs w:val="24"/>
        </w:rPr>
        <w:t>, encuadrándola como “organizaciones de tendencia”</w:t>
      </w:r>
      <w:r w:rsidRPr="00793EF7">
        <w:rPr>
          <w:rFonts w:ascii="Times New Roman" w:hAnsi="Times New Roman" w:cs="Times New Roman"/>
          <w:sz w:val="24"/>
          <w:szCs w:val="24"/>
        </w:rPr>
        <w:t>;</w:t>
      </w:r>
    </w:p>
    <w:p w:rsidR="000B6882" w:rsidRPr="00793EF7" w:rsidRDefault="000B6882" w:rsidP="00793EF7">
      <w:pPr>
        <w:pStyle w:val="Prrafodelista"/>
        <w:numPr>
          <w:ilvl w:val="0"/>
          <w:numId w:val="3"/>
        </w:numPr>
        <w:jc w:val="both"/>
        <w:rPr>
          <w:rFonts w:ascii="Times New Roman" w:hAnsi="Times New Roman" w:cs="Times New Roman"/>
          <w:sz w:val="24"/>
          <w:szCs w:val="24"/>
        </w:rPr>
      </w:pPr>
      <w:r w:rsidRPr="00793EF7">
        <w:rPr>
          <w:rFonts w:ascii="Times New Roman" w:hAnsi="Times New Roman" w:cs="Times New Roman"/>
          <w:sz w:val="24"/>
          <w:szCs w:val="24"/>
        </w:rPr>
        <w:t>E</w:t>
      </w:r>
      <w:r w:rsidR="00890E2A">
        <w:rPr>
          <w:rFonts w:ascii="Times New Roman" w:hAnsi="Times New Roman" w:cs="Times New Roman"/>
          <w:sz w:val="24"/>
          <w:szCs w:val="24"/>
        </w:rPr>
        <w:t xml:space="preserve">l </w:t>
      </w:r>
      <w:r w:rsidR="00F423EA">
        <w:rPr>
          <w:rFonts w:ascii="Times New Roman" w:hAnsi="Times New Roman" w:cs="Times New Roman"/>
          <w:sz w:val="24"/>
          <w:szCs w:val="24"/>
        </w:rPr>
        <w:t xml:space="preserve">derecho al </w:t>
      </w:r>
      <w:r w:rsidR="00890E2A">
        <w:rPr>
          <w:rFonts w:ascii="Times New Roman" w:hAnsi="Times New Roman" w:cs="Times New Roman"/>
          <w:sz w:val="24"/>
          <w:szCs w:val="24"/>
        </w:rPr>
        <w:t>ideario institucional puede en algunos supuestos modalizar</w:t>
      </w:r>
      <w:r w:rsidRPr="00793EF7">
        <w:rPr>
          <w:rFonts w:ascii="Times New Roman" w:hAnsi="Times New Roman" w:cs="Times New Roman"/>
          <w:sz w:val="24"/>
          <w:szCs w:val="24"/>
        </w:rPr>
        <w:t xml:space="preserve"> el ejercicio d</w:t>
      </w:r>
      <w:r w:rsidR="00F423EA">
        <w:rPr>
          <w:rFonts w:ascii="Times New Roman" w:hAnsi="Times New Roman" w:cs="Times New Roman"/>
          <w:sz w:val="24"/>
          <w:szCs w:val="24"/>
        </w:rPr>
        <w:t>e alguno de los derechos constitucionales</w:t>
      </w:r>
      <w:r w:rsidRPr="00793EF7">
        <w:rPr>
          <w:rFonts w:ascii="Times New Roman" w:hAnsi="Times New Roman" w:cs="Times New Roman"/>
          <w:sz w:val="24"/>
          <w:szCs w:val="24"/>
        </w:rPr>
        <w:t xml:space="preserve"> de quienes integran, trabajan y se relacionan con estas entidades</w:t>
      </w:r>
      <w:r w:rsidR="00CD531F">
        <w:rPr>
          <w:rFonts w:ascii="Times New Roman" w:hAnsi="Times New Roman" w:cs="Times New Roman"/>
          <w:sz w:val="24"/>
          <w:szCs w:val="24"/>
        </w:rPr>
        <w:t>,</w:t>
      </w:r>
      <w:r w:rsidR="00F423EA">
        <w:rPr>
          <w:rFonts w:ascii="Times New Roman" w:hAnsi="Times New Roman" w:cs="Times New Roman"/>
          <w:sz w:val="24"/>
          <w:szCs w:val="24"/>
        </w:rPr>
        <w:t xml:space="preserve"> para armonizar esos derechos con el respeto debido al derecho de esas instituciones y de sus integrantes </w:t>
      </w:r>
      <w:r w:rsidR="00CD531F">
        <w:rPr>
          <w:rFonts w:ascii="Times New Roman" w:hAnsi="Times New Roman" w:cs="Times New Roman"/>
          <w:sz w:val="24"/>
          <w:szCs w:val="24"/>
        </w:rPr>
        <w:t>de</w:t>
      </w:r>
      <w:r w:rsidR="00F423EA">
        <w:rPr>
          <w:rFonts w:ascii="Times New Roman" w:hAnsi="Times New Roman" w:cs="Times New Roman"/>
          <w:sz w:val="24"/>
          <w:szCs w:val="24"/>
        </w:rPr>
        <w:t xml:space="preserve"> actuar c</w:t>
      </w:r>
      <w:r w:rsidR="00D07ABF">
        <w:rPr>
          <w:rFonts w:ascii="Times New Roman" w:hAnsi="Times New Roman" w:cs="Times New Roman"/>
          <w:sz w:val="24"/>
          <w:szCs w:val="24"/>
        </w:rPr>
        <w:t>onforme a sus valores fundantes. Esta es un exigencia del pluralismo social propio de las democracias constitucionales.</w:t>
      </w:r>
    </w:p>
    <w:p w:rsidR="000B6882" w:rsidRDefault="000B6882" w:rsidP="00793EF7">
      <w:pPr>
        <w:pStyle w:val="Prrafodelista"/>
        <w:numPr>
          <w:ilvl w:val="0"/>
          <w:numId w:val="3"/>
        </w:numPr>
        <w:jc w:val="both"/>
        <w:rPr>
          <w:rFonts w:ascii="Times New Roman" w:hAnsi="Times New Roman" w:cs="Times New Roman"/>
          <w:sz w:val="24"/>
          <w:szCs w:val="24"/>
        </w:rPr>
      </w:pPr>
      <w:r w:rsidRPr="00793EF7">
        <w:rPr>
          <w:rFonts w:ascii="Times New Roman" w:hAnsi="Times New Roman" w:cs="Times New Roman"/>
          <w:sz w:val="24"/>
          <w:szCs w:val="24"/>
        </w:rPr>
        <w:t xml:space="preserve">Cabe reconocer a estas instituciones un derecho a no realizar aquellas prácticas médicas, educativas o sociales </w:t>
      </w:r>
      <w:r w:rsidR="004D0C18">
        <w:rPr>
          <w:rFonts w:ascii="Times New Roman" w:hAnsi="Times New Roman" w:cs="Times New Roman"/>
          <w:sz w:val="24"/>
          <w:szCs w:val="24"/>
        </w:rPr>
        <w:t xml:space="preserve">claramente </w:t>
      </w:r>
      <w:r w:rsidRPr="00793EF7">
        <w:rPr>
          <w:rFonts w:ascii="Times New Roman" w:hAnsi="Times New Roman" w:cs="Times New Roman"/>
          <w:sz w:val="24"/>
          <w:szCs w:val="24"/>
        </w:rPr>
        <w:t>contrarias a su ideario</w:t>
      </w:r>
      <w:r w:rsidR="00F423EA">
        <w:rPr>
          <w:rFonts w:ascii="Times New Roman" w:hAnsi="Times New Roman" w:cs="Times New Roman"/>
          <w:sz w:val="24"/>
          <w:szCs w:val="24"/>
        </w:rPr>
        <w:t>.</w:t>
      </w:r>
    </w:p>
    <w:p w:rsidR="00F423EA" w:rsidRPr="00793EF7" w:rsidRDefault="00F423EA" w:rsidP="00793EF7">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Estos criterios encuentran su fundamen</w:t>
      </w:r>
      <w:r w:rsidR="00D07ABF">
        <w:rPr>
          <w:rFonts w:ascii="Times New Roman" w:hAnsi="Times New Roman" w:cs="Times New Roman"/>
          <w:sz w:val="24"/>
          <w:szCs w:val="24"/>
        </w:rPr>
        <w:t xml:space="preserve">to en los derechos humanos de </w:t>
      </w:r>
      <w:r>
        <w:rPr>
          <w:rFonts w:ascii="Times New Roman" w:hAnsi="Times New Roman" w:cs="Times New Roman"/>
          <w:sz w:val="24"/>
          <w:szCs w:val="24"/>
        </w:rPr>
        <w:t xml:space="preserve"> asociarse con fines </w:t>
      </w:r>
      <w:r w:rsidR="00D07ABF">
        <w:rPr>
          <w:rFonts w:ascii="Times New Roman" w:hAnsi="Times New Roman" w:cs="Times New Roman"/>
          <w:sz w:val="24"/>
          <w:szCs w:val="24"/>
        </w:rPr>
        <w:t xml:space="preserve">útiles, </w:t>
      </w:r>
      <w:r w:rsidR="00CD531F">
        <w:rPr>
          <w:rFonts w:ascii="Times New Roman" w:hAnsi="Times New Roman" w:cs="Times New Roman"/>
          <w:sz w:val="24"/>
          <w:szCs w:val="24"/>
        </w:rPr>
        <w:t>en</w:t>
      </w:r>
      <w:r>
        <w:rPr>
          <w:rFonts w:ascii="Times New Roman" w:hAnsi="Times New Roman" w:cs="Times New Roman"/>
          <w:sz w:val="24"/>
          <w:szCs w:val="24"/>
        </w:rPr>
        <w:t xml:space="preserve"> la libert</w:t>
      </w:r>
      <w:r w:rsidR="00CD531F">
        <w:rPr>
          <w:rFonts w:ascii="Times New Roman" w:hAnsi="Times New Roman" w:cs="Times New Roman"/>
          <w:sz w:val="24"/>
          <w:szCs w:val="24"/>
        </w:rPr>
        <w:t>ad de enseñanza y en</w:t>
      </w:r>
      <w:r>
        <w:rPr>
          <w:rFonts w:ascii="Times New Roman" w:hAnsi="Times New Roman" w:cs="Times New Roman"/>
          <w:sz w:val="24"/>
          <w:szCs w:val="24"/>
        </w:rPr>
        <w:t xml:space="preserve"> la libertad religiosa, reconocidos constitucional y convencionalmente.</w:t>
      </w:r>
    </w:p>
    <w:sectPr w:rsidR="00F423EA" w:rsidRPr="00793EF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322" w:rsidRDefault="00AB1322" w:rsidP="0095132B">
      <w:pPr>
        <w:spacing w:after="0" w:line="240" w:lineRule="auto"/>
      </w:pPr>
      <w:r>
        <w:separator/>
      </w:r>
    </w:p>
  </w:endnote>
  <w:endnote w:type="continuationSeparator" w:id="0">
    <w:p w:rsidR="00AB1322" w:rsidRDefault="00AB1322" w:rsidP="00951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mSpringsPlai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969264"/>
      <w:docPartObj>
        <w:docPartGallery w:val="Page Numbers (Bottom of Page)"/>
        <w:docPartUnique/>
      </w:docPartObj>
    </w:sdtPr>
    <w:sdtEndPr/>
    <w:sdtContent>
      <w:p w:rsidR="002529BF" w:rsidRDefault="002529BF">
        <w:pPr>
          <w:pStyle w:val="Piedepgina"/>
          <w:jc w:val="center"/>
        </w:pPr>
        <w:r>
          <w:fldChar w:fldCharType="begin"/>
        </w:r>
        <w:r>
          <w:instrText>PAGE   \* MERGEFORMAT</w:instrText>
        </w:r>
        <w:r>
          <w:fldChar w:fldCharType="separate"/>
        </w:r>
        <w:r w:rsidR="00C20CD8" w:rsidRPr="00C20CD8">
          <w:rPr>
            <w:noProof/>
            <w:lang w:val="es-ES"/>
          </w:rPr>
          <w:t>1</w:t>
        </w:r>
        <w:r>
          <w:fldChar w:fldCharType="end"/>
        </w:r>
      </w:p>
    </w:sdtContent>
  </w:sdt>
  <w:p w:rsidR="002529BF" w:rsidRDefault="002529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322" w:rsidRDefault="00AB1322" w:rsidP="0095132B">
      <w:pPr>
        <w:spacing w:after="0" w:line="240" w:lineRule="auto"/>
      </w:pPr>
      <w:r>
        <w:separator/>
      </w:r>
    </w:p>
  </w:footnote>
  <w:footnote w:type="continuationSeparator" w:id="0">
    <w:p w:rsidR="00AB1322" w:rsidRDefault="00AB1322" w:rsidP="0095132B">
      <w:pPr>
        <w:spacing w:after="0" w:line="240" w:lineRule="auto"/>
      </w:pPr>
      <w:r>
        <w:continuationSeparator/>
      </w:r>
    </w:p>
  </w:footnote>
  <w:footnote w:id="1">
    <w:p w:rsidR="0095132B" w:rsidRPr="00A64874" w:rsidRDefault="0095132B" w:rsidP="00A64874">
      <w:pPr>
        <w:pStyle w:val="Textonotapie"/>
        <w:jc w:val="both"/>
        <w:rPr>
          <w:rFonts w:ascii="Times New Roman" w:hAnsi="Times New Roman" w:cs="Times New Roman"/>
        </w:rPr>
      </w:pPr>
      <w:r w:rsidRPr="00890E2A">
        <w:rPr>
          <w:rStyle w:val="Refdenotaalpie"/>
          <w:rFonts w:ascii="Times New Roman" w:hAnsi="Times New Roman" w:cs="Times New Roman"/>
        </w:rPr>
        <w:footnoteRef/>
      </w:r>
      <w:r w:rsidRPr="00890E2A">
        <w:rPr>
          <w:rFonts w:ascii="Times New Roman" w:hAnsi="Times New Roman" w:cs="Times New Roman"/>
        </w:rPr>
        <w:t xml:space="preserve"> Cfr. </w:t>
      </w:r>
      <w:r w:rsidRPr="00890E2A">
        <w:rPr>
          <w:rFonts w:ascii="Times New Roman" w:hAnsi="Times New Roman" w:cs="Times New Roman"/>
          <w:lang w:val="es-ES_tradnl"/>
        </w:rPr>
        <w:t>INDEX, Editio 2005, “Universitates et alia Instituta Studiorum Superiorum Ecclesiae Catholicae”,  publicación de la Congregación para la Educa</w:t>
      </w:r>
      <w:r w:rsidRPr="00A64874">
        <w:rPr>
          <w:rFonts w:ascii="Times New Roman" w:hAnsi="Times New Roman" w:cs="Times New Roman"/>
          <w:lang w:val="es-ES_tradnl"/>
        </w:rPr>
        <w:t>ción Católica.</w:t>
      </w:r>
    </w:p>
  </w:footnote>
  <w:footnote w:id="2">
    <w:p w:rsidR="00A64874" w:rsidRPr="00A64874" w:rsidRDefault="00A64874" w:rsidP="00752633">
      <w:pPr>
        <w:pStyle w:val="Textonotapie"/>
        <w:jc w:val="both"/>
        <w:rPr>
          <w:rFonts w:ascii="Times New Roman" w:hAnsi="Times New Roman" w:cs="Times New Roman"/>
        </w:rPr>
      </w:pPr>
      <w:r w:rsidRPr="00A64874">
        <w:rPr>
          <w:rStyle w:val="Refdenotaalpie"/>
          <w:rFonts w:ascii="Times New Roman" w:hAnsi="Times New Roman" w:cs="Times New Roman"/>
        </w:rPr>
        <w:footnoteRef/>
      </w:r>
      <w:r w:rsidRPr="00A64874">
        <w:rPr>
          <w:rFonts w:ascii="Times New Roman" w:hAnsi="Times New Roman" w:cs="Times New Roman"/>
        </w:rPr>
        <w:t xml:space="preserve"> Cfr. caso </w:t>
      </w:r>
      <w:r w:rsidR="00752633">
        <w:rPr>
          <w:rFonts w:ascii="Times New Roman" w:hAnsi="Times New Roman" w:cs="Times New Roman"/>
        </w:rPr>
        <w:t>“</w:t>
      </w:r>
      <w:r w:rsidRPr="00A64874">
        <w:rPr>
          <w:rFonts w:ascii="Times New Roman" w:hAnsi="Times New Roman" w:cs="Times New Roman"/>
        </w:rPr>
        <w:t>Hobby Lobby</w:t>
      </w:r>
      <w:r w:rsidR="00752633">
        <w:rPr>
          <w:rFonts w:ascii="Times New Roman" w:hAnsi="Times New Roman" w:cs="Times New Roman"/>
        </w:rPr>
        <w:t>”</w:t>
      </w:r>
      <w:r w:rsidRPr="00A64874">
        <w:rPr>
          <w:rFonts w:ascii="Times New Roman" w:hAnsi="Times New Roman" w:cs="Times New Roman"/>
        </w:rPr>
        <w:t xml:space="preserve"> que analizaremos en el apart</w:t>
      </w:r>
      <w:r w:rsidRPr="00752633">
        <w:rPr>
          <w:rFonts w:ascii="Times New Roman" w:hAnsi="Times New Roman" w:cs="Times New Roman"/>
        </w:rPr>
        <w:t>ado IV de este trabajo.</w:t>
      </w:r>
      <w:r w:rsidR="00752633" w:rsidRPr="00752633">
        <w:rPr>
          <w:rFonts w:ascii="Times New Roman" w:hAnsi="Times New Roman" w:cs="Times New Roman"/>
        </w:rPr>
        <w:t xml:space="preserve"> Refiriéndose a la situación planteada con motivo de la sanción de la ley del seguro de salud en ese país, previa al fallo del caso “Hobby Lobby” señalaba la Conferencia Episcopal norteamericana: </w:t>
      </w:r>
      <w:r w:rsidR="00752633" w:rsidRPr="00752633">
        <w:rPr>
          <w:rFonts w:ascii="Times New Roman" w:eastAsia="Times New Roman" w:hAnsi="Times New Roman" w:cs="Times New Roman"/>
          <w:iCs/>
          <w:lang w:eastAsia="es-ES"/>
        </w:rPr>
        <w:t>El mandato de la HHS sobre anticoncepción, esterilización y drogas abortivas.</w:t>
      </w:r>
      <w:r w:rsidR="00752633" w:rsidRPr="00752633">
        <w:rPr>
          <w:rFonts w:ascii="Times New Roman" w:eastAsia="Times New Roman" w:hAnsi="Times New Roman" w:cs="Times New Roman"/>
          <w:lang w:eastAsia="es-ES"/>
        </w:rPr>
        <w:t xml:space="preserve"> El mandato del Departamento de Salud y Servicios Humanos (HHS por sus siglas en inglés) ha recibido una amplia atención, y ha encontrado nuestra más vigorosa y unificada oposición. De forma sin precedentes en la historia de los Estados Unidos, el gobierno federal obligará a las instituciones religiosas a facilitar y pagar por algo que es contrario a sus enseñanzas morales, pretendiendo definir cuáles instituciones religiosas son "suficientemente religiosas" como para ameritar la protección de su libertad religiosa. Estas peculiaridades de los "servicios preventivos" del mandato de la HHS hacen que esta sea una ley injusta. El Arzobispo William Lori de Baltimore, Presidente de nuestro Comité Ad Hoc de Libertad Religiosa, testificó ante el Congreso, diciendo: "Esto no es un asunto de que si el gobierno deba</w:t>
      </w:r>
      <w:r w:rsidR="00752633" w:rsidRPr="00752633">
        <w:rPr>
          <w:rFonts w:ascii="Times New Roman" w:eastAsia="Times New Roman" w:hAnsi="Times New Roman" w:cs="Times New Roman"/>
          <w:iCs/>
          <w:lang w:eastAsia="es-ES"/>
        </w:rPr>
        <w:t xml:space="preserve"> prohibir</w:t>
      </w:r>
      <w:r w:rsidR="00752633" w:rsidRPr="00752633">
        <w:rPr>
          <w:rFonts w:ascii="Times New Roman" w:eastAsia="Times New Roman" w:hAnsi="Times New Roman" w:cs="Times New Roman"/>
          <w:lang w:eastAsia="es-ES"/>
        </w:rPr>
        <w:t xml:space="preserve"> la anticoncepción. No es siquiera un asunto de que si la anticoncepción deba ser </w:t>
      </w:r>
      <w:r w:rsidR="00752633" w:rsidRPr="00752633">
        <w:rPr>
          <w:rFonts w:ascii="Times New Roman" w:eastAsia="Times New Roman" w:hAnsi="Times New Roman" w:cs="Times New Roman"/>
          <w:iCs/>
          <w:lang w:eastAsia="es-ES"/>
        </w:rPr>
        <w:t>apoyada</w:t>
      </w:r>
      <w:r w:rsidR="00752633" w:rsidRPr="00752633">
        <w:rPr>
          <w:rFonts w:ascii="Times New Roman" w:eastAsia="Times New Roman" w:hAnsi="Times New Roman" w:cs="Times New Roman"/>
          <w:lang w:eastAsia="es-ES"/>
        </w:rPr>
        <w:t xml:space="preserve"> por el gobierno. Se trata de que si las personas e instituciones religiosas deben ser forzadas por el gobierno a proveer cobertura de anticonceptivos o esterilización, aun cuando estas prácticas violen sus creencias religiosas", Documento “La </w:t>
      </w:r>
      <w:r w:rsidR="00443CDF">
        <w:rPr>
          <w:rFonts w:ascii="Times New Roman" w:eastAsia="Times New Roman" w:hAnsi="Times New Roman" w:cs="Times New Roman"/>
          <w:lang w:eastAsia="es-ES"/>
        </w:rPr>
        <w:t xml:space="preserve">primera y </w:t>
      </w:r>
      <w:r w:rsidR="00752633" w:rsidRPr="00752633">
        <w:rPr>
          <w:rFonts w:ascii="Times New Roman" w:eastAsia="Times New Roman" w:hAnsi="Times New Roman" w:cs="Times New Roman"/>
          <w:lang w:eastAsia="es-ES"/>
        </w:rPr>
        <w:t>más preciada</w:t>
      </w:r>
      <w:r w:rsidR="00443CDF">
        <w:rPr>
          <w:rFonts w:ascii="Times New Roman" w:eastAsia="Times New Roman" w:hAnsi="Times New Roman" w:cs="Times New Roman"/>
          <w:lang w:eastAsia="es-ES"/>
        </w:rPr>
        <w:t xml:space="preserve"> de nuestras</w:t>
      </w:r>
      <w:r w:rsidR="00752633" w:rsidRPr="00752633">
        <w:rPr>
          <w:rFonts w:ascii="Times New Roman" w:eastAsia="Times New Roman" w:hAnsi="Times New Roman" w:cs="Times New Roman"/>
          <w:lang w:eastAsia="es-ES"/>
        </w:rPr>
        <w:t xml:space="preserve"> libertad</w:t>
      </w:r>
      <w:r w:rsidR="00443CDF">
        <w:rPr>
          <w:rFonts w:ascii="Times New Roman" w:eastAsia="Times New Roman" w:hAnsi="Times New Roman" w:cs="Times New Roman"/>
          <w:lang w:eastAsia="es-ES"/>
        </w:rPr>
        <w:t>es</w:t>
      </w:r>
      <w:r w:rsidR="00752633" w:rsidRPr="00752633">
        <w:rPr>
          <w:rFonts w:ascii="Times New Roman" w:eastAsia="Times New Roman" w:hAnsi="Times New Roman" w:cs="Times New Roman"/>
          <w:lang w:eastAsia="es-ES"/>
        </w:rPr>
        <w:t>”</w:t>
      </w:r>
      <w:r w:rsidR="00443CDF">
        <w:rPr>
          <w:rFonts w:ascii="Times New Roman" w:eastAsia="Times New Roman" w:hAnsi="Times New Roman" w:cs="Times New Roman"/>
          <w:lang w:eastAsia="es-ES"/>
        </w:rPr>
        <w:t>, marzo 2012.</w:t>
      </w:r>
    </w:p>
  </w:footnote>
  <w:footnote w:id="3">
    <w:p w:rsidR="00A26C95" w:rsidRPr="00D07ABF" w:rsidRDefault="00A26C95" w:rsidP="00A26C95">
      <w:pPr>
        <w:pStyle w:val="Textonotapie"/>
        <w:jc w:val="both"/>
        <w:rPr>
          <w:rFonts w:ascii="Times New Roman" w:hAnsi="Times New Roman" w:cs="Times New Roman"/>
        </w:rPr>
      </w:pPr>
      <w:r w:rsidRPr="00D07ABF">
        <w:rPr>
          <w:rStyle w:val="Refdenotaalpie"/>
          <w:rFonts w:ascii="Times New Roman" w:hAnsi="Times New Roman" w:cs="Times New Roman"/>
        </w:rPr>
        <w:footnoteRef/>
      </w:r>
      <w:r w:rsidRPr="00D07ABF">
        <w:rPr>
          <w:rFonts w:ascii="Times New Roman" w:hAnsi="Times New Roman" w:cs="Times New Roman"/>
        </w:rPr>
        <w:t xml:space="preserve"> En este país, algunas entidades profesionales de abogados se han negado a la reacreditación de la Escuela de Derecho de una Universidad Católica, la Trinity Western University,  porque en su ideario se afirma, entre muchos otros puntos, que el matrimonio es entre un hombre y una mujer y por ello se considera que se ofrece una enseñanza de carácter  discriminatorio a los futuros abogados. La cuestión se ha judicializado y está a la decisión de los tribunales.</w:t>
      </w:r>
    </w:p>
  </w:footnote>
  <w:footnote w:id="4">
    <w:p w:rsidR="00A26C95" w:rsidRPr="00D07ABF" w:rsidRDefault="00A26C95" w:rsidP="00A26C95">
      <w:pPr>
        <w:pStyle w:val="Textonotapie"/>
        <w:jc w:val="both"/>
        <w:rPr>
          <w:rFonts w:ascii="Times New Roman" w:hAnsi="Times New Roman" w:cs="Times New Roman"/>
        </w:rPr>
      </w:pPr>
      <w:r w:rsidRPr="00D07ABF">
        <w:rPr>
          <w:rStyle w:val="Refdenotaalpie"/>
          <w:rFonts w:ascii="Times New Roman" w:hAnsi="Times New Roman" w:cs="Times New Roman"/>
        </w:rPr>
        <w:footnoteRef/>
      </w:r>
      <w:r w:rsidRPr="00D07ABF">
        <w:rPr>
          <w:rFonts w:ascii="Times New Roman" w:hAnsi="Times New Roman" w:cs="Times New Roman"/>
        </w:rPr>
        <w:t xml:space="preserve"> En la sentencia del tribunal constitucional de ese país que habilita algunos supuestos de aborto, se reconoce únicamente la objeción de conciencia de carácter personal y se señala que dicha práctica debe ser realizada en toda clase de centros médicos, tanto públicos como privados, sin tener en cuenta su ideario.</w:t>
      </w:r>
    </w:p>
  </w:footnote>
  <w:footnote w:id="5">
    <w:p w:rsidR="00A64874" w:rsidRDefault="00A64874" w:rsidP="00A64874">
      <w:pPr>
        <w:pStyle w:val="NormalWeb"/>
        <w:spacing w:before="72" w:beforeAutospacing="0" w:after="192" w:afterAutospacing="0"/>
        <w:jc w:val="both"/>
      </w:pPr>
      <w:r w:rsidRPr="00A64874">
        <w:rPr>
          <w:rStyle w:val="Refdenotaalpie"/>
          <w:sz w:val="20"/>
          <w:szCs w:val="20"/>
        </w:rPr>
        <w:footnoteRef/>
      </w:r>
      <w:r w:rsidRPr="00A64874">
        <w:rPr>
          <w:sz w:val="20"/>
          <w:szCs w:val="20"/>
        </w:rPr>
        <w:t xml:space="preserve"> Según informó el diario El Mercurio el pasado 22 de febrero, con motivo del debate de la despenalización del aborto en Chile,  el Dr. Ignacio Sánchez, rector de la Pontificia Universidad Católica de Chile,  descartó la posibilidad de que la red de cen</w:t>
      </w:r>
      <w:r>
        <w:rPr>
          <w:sz w:val="20"/>
          <w:szCs w:val="20"/>
        </w:rPr>
        <w:t>tros médicos de dicha institució</w:t>
      </w:r>
      <w:r w:rsidRPr="00A64874">
        <w:rPr>
          <w:sz w:val="20"/>
          <w:szCs w:val="20"/>
        </w:rPr>
        <w:t xml:space="preserve">n confesional admita la práctica del aborto, </w:t>
      </w:r>
      <w:r w:rsidRPr="00752633">
        <w:rPr>
          <w:sz w:val="20"/>
          <w:szCs w:val="20"/>
        </w:rPr>
        <w:t>más allá de su eventual despenalización</w:t>
      </w:r>
      <w:r w:rsidR="00752633" w:rsidRPr="00752633">
        <w:rPr>
          <w:sz w:val="20"/>
          <w:szCs w:val="20"/>
        </w:rPr>
        <w:t>, lo que provocó la reacción de algunos legisladores</w:t>
      </w:r>
      <w:r w:rsidR="00752633">
        <w:rPr>
          <w:sz w:val="20"/>
          <w:szCs w:val="20"/>
        </w:rPr>
        <w:t xml:space="preserve"> oficialistas.</w:t>
      </w:r>
    </w:p>
  </w:footnote>
  <w:footnote w:id="6">
    <w:p w:rsidR="00A64874" w:rsidRPr="00A64874" w:rsidRDefault="00A64874">
      <w:pPr>
        <w:pStyle w:val="Textonotapie"/>
        <w:rPr>
          <w:rFonts w:ascii="Times New Roman" w:hAnsi="Times New Roman" w:cs="Times New Roman"/>
        </w:rPr>
      </w:pPr>
      <w:r w:rsidRPr="00A64874">
        <w:rPr>
          <w:rStyle w:val="Refdenotaalpie"/>
          <w:rFonts w:ascii="Times New Roman" w:hAnsi="Times New Roman" w:cs="Times New Roman"/>
        </w:rPr>
        <w:footnoteRef/>
      </w:r>
      <w:r w:rsidRPr="00A64874">
        <w:rPr>
          <w:rFonts w:ascii="Times New Roman" w:hAnsi="Times New Roman" w:cs="Times New Roman"/>
        </w:rPr>
        <w:t xml:space="preserve"> Cfr. la situación planteada en algunos centros educativos en relación a ciertos contenidos de la materia “Ciudadanía” que pretendió imponer el último gobierno socialista del Presidente Zapatero.</w:t>
      </w:r>
    </w:p>
  </w:footnote>
  <w:footnote w:id="7">
    <w:p w:rsidR="0095132B" w:rsidRPr="00890E2A" w:rsidRDefault="0095132B" w:rsidP="00890E2A">
      <w:pPr>
        <w:pStyle w:val="Textonotapie"/>
        <w:jc w:val="both"/>
        <w:rPr>
          <w:rFonts w:ascii="Times New Roman" w:hAnsi="Times New Roman" w:cs="Times New Roman"/>
        </w:rPr>
      </w:pPr>
      <w:r w:rsidRPr="00890E2A">
        <w:rPr>
          <w:rStyle w:val="Refdenotaalpie"/>
          <w:rFonts w:ascii="Times New Roman" w:hAnsi="Times New Roman" w:cs="Times New Roman"/>
        </w:rPr>
        <w:footnoteRef/>
      </w:r>
      <w:r w:rsidRPr="00890E2A">
        <w:rPr>
          <w:rFonts w:ascii="Times New Roman" w:hAnsi="Times New Roman" w:cs="Times New Roman"/>
        </w:rPr>
        <w:t xml:space="preserve"> Sanctis Ricciardone, “Licenziamiento de una scuola privata, (prime note in materia di –imprese di tendenza-)”, in </w:t>
      </w:r>
      <w:r w:rsidRPr="00890E2A">
        <w:rPr>
          <w:rFonts w:ascii="Times New Roman" w:hAnsi="Times New Roman" w:cs="Times New Roman"/>
          <w:i/>
        </w:rPr>
        <w:t>Girusprudenza Italiana</w:t>
      </w:r>
      <w:r w:rsidRPr="00890E2A">
        <w:rPr>
          <w:rFonts w:ascii="Times New Roman" w:hAnsi="Times New Roman" w:cs="Times New Roman"/>
        </w:rPr>
        <w:t>, I, senz II, 1975, pág. 904.</w:t>
      </w:r>
    </w:p>
  </w:footnote>
  <w:footnote w:id="8">
    <w:p w:rsidR="0095132B" w:rsidRPr="00890E2A" w:rsidRDefault="0095132B" w:rsidP="00890E2A">
      <w:pPr>
        <w:pStyle w:val="FormatoRedaccin"/>
        <w:ind w:firstLine="0"/>
        <w:rPr>
          <w:sz w:val="20"/>
          <w:szCs w:val="20"/>
        </w:rPr>
      </w:pPr>
      <w:r w:rsidRPr="00890E2A">
        <w:rPr>
          <w:rStyle w:val="Refdenotaalpie"/>
          <w:sz w:val="20"/>
          <w:szCs w:val="20"/>
        </w:rPr>
        <w:footnoteRef/>
      </w:r>
      <w:r w:rsidRPr="00890E2A">
        <w:rPr>
          <w:sz w:val="20"/>
          <w:szCs w:val="20"/>
        </w:rPr>
        <w:t xml:space="preserve"> A su vez, en el art. 10 del Decreto 1.282/2003, reglamentario de esa Ley 25.673, se reglamentó </w:t>
      </w:r>
      <w:r w:rsidRPr="00890E2A">
        <w:rPr>
          <w:i/>
          <w:sz w:val="20"/>
          <w:szCs w:val="20"/>
        </w:rPr>
        <w:t>la objeción de conciencia institucional</w:t>
      </w:r>
      <w:r w:rsidRPr="00890E2A">
        <w:rPr>
          <w:sz w:val="20"/>
          <w:szCs w:val="20"/>
        </w:rPr>
        <w:t xml:space="preserve"> prevista en el mencionado art.10. El decreto establece lo siguiente:</w:t>
      </w:r>
    </w:p>
    <w:p w:rsidR="0095132B" w:rsidRPr="00890E2A" w:rsidRDefault="0095132B" w:rsidP="00890E2A">
      <w:pPr>
        <w:pStyle w:val="FormatoRedaccin"/>
        <w:ind w:firstLine="0"/>
        <w:rPr>
          <w:sz w:val="20"/>
          <w:szCs w:val="20"/>
        </w:rPr>
      </w:pPr>
      <w:r w:rsidRPr="00890E2A">
        <w:rPr>
          <w:sz w:val="20"/>
          <w:szCs w:val="20"/>
        </w:rPr>
        <w:t xml:space="preserve"> </w:t>
      </w:r>
      <w:r w:rsidRPr="00890E2A">
        <w:rPr>
          <w:color w:val="000000"/>
          <w:sz w:val="20"/>
          <w:szCs w:val="20"/>
        </w:rPr>
        <w:t>“Artículo 10.- Se</w:t>
      </w:r>
      <w:r w:rsidRPr="00890E2A">
        <w:rPr>
          <w:b/>
          <w:color w:val="000000"/>
          <w:sz w:val="20"/>
          <w:szCs w:val="20"/>
        </w:rPr>
        <w:t xml:space="preserve"> </w:t>
      </w:r>
      <w:r w:rsidRPr="00890E2A">
        <w:rPr>
          <w:i/>
          <w:color w:val="000000"/>
          <w:sz w:val="20"/>
          <w:szCs w:val="20"/>
        </w:rPr>
        <w:t>respetará el derecho de los objetores de conciencia a ser exceptuados de su participación en el PROGRAMA NACIONAL DE SALUD SEXUAL Y PROCREACION RESPONSABLE</w:t>
      </w:r>
      <w:r w:rsidRPr="00890E2A">
        <w:rPr>
          <w:b/>
          <w:color w:val="000000"/>
          <w:sz w:val="20"/>
          <w:szCs w:val="20"/>
        </w:rPr>
        <w:t xml:space="preserve"> </w:t>
      </w:r>
      <w:r w:rsidRPr="00890E2A">
        <w:rPr>
          <w:color w:val="000000"/>
          <w:sz w:val="20"/>
          <w:szCs w:val="20"/>
        </w:rPr>
        <w:t xml:space="preserve">previa fundamentación, y lo que se enmarcará en la reglamentación del ejercicio profesional de cada jurisdicción. Los objetores de conciencia lo serán tanto en la actividad pública institucional como en la privada. </w:t>
      </w:r>
      <w:r w:rsidRPr="00890E2A">
        <w:rPr>
          <w:i/>
          <w:color w:val="000000"/>
          <w:sz w:val="20"/>
          <w:szCs w:val="20"/>
        </w:rPr>
        <w:t>Los centros de salud privados</w:t>
      </w:r>
      <w:r w:rsidRPr="00890E2A">
        <w:rPr>
          <w:color w:val="000000"/>
          <w:sz w:val="20"/>
          <w:szCs w:val="20"/>
        </w:rPr>
        <w:t xml:space="preserve"> deberán garantizar la atención y la implementación del Programa, pudiendo derivar a la población a otros Centros asistenciales,</w:t>
      </w:r>
      <w:r w:rsidRPr="00890E2A">
        <w:rPr>
          <w:b/>
          <w:color w:val="000000"/>
          <w:sz w:val="20"/>
          <w:szCs w:val="20"/>
        </w:rPr>
        <w:t xml:space="preserve"> </w:t>
      </w:r>
      <w:r w:rsidRPr="00890E2A">
        <w:rPr>
          <w:i/>
          <w:color w:val="000000"/>
          <w:sz w:val="20"/>
          <w:szCs w:val="20"/>
        </w:rPr>
        <w:t>cuando por razones confesionales, en base a sus fines institucionales y/o convicciones de sus titulares, optaren por ser exceptuados del cumplimiento del artículo 6, inciso b) de la ley que se reglamenta, a cuyo fin deberán efectuar la presentación pertinente por ante las autoridades sanitarias locales</w:t>
      </w:r>
      <w:r w:rsidRPr="00890E2A">
        <w:rPr>
          <w:color w:val="000000"/>
          <w:sz w:val="20"/>
          <w:szCs w:val="20"/>
        </w:rPr>
        <w:t>, de conformidad a lo indicado en el primer párrafo de este artículo cuando corresponda”.</w:t>
      </w:r>
    </w:p>
  </w:footnote>
  <w:footnote w:id="9">
    <w:p w:rsidR="0095132B" w:rsidRPr="00890E2A" w:rsidRDefault="0095132B" w:rsidP="00890E2A">
      <w:pPr>
        <w:autoSpaceDE w:val="0"/>
        <w:autoSpaceDN w:val="0"/>
        <w:adjustRightInd w:val="0"/>
        <w:spacing w:after="0" w:line="240" w:lineRule="auto"/>
        <w:jc w:val="both"/>
        <w:rPr>
          <w:rFonts w:ascii="Times New Roman" w:hAnsi="Times New Roman" w:cs="Times New Roman"/>
          <w:sz w:val="20"/>
          <w:szCs w:val="20"/>
        </w:rPr>
      </w:pPr>
      <w:r w:rsidRPr="00890E2A">
        <w:rPr>
          <w:rStyle w:val="Refdenotaalpie"/>
          <w:rFonts w:ascii="Times New Roman" w:hAnsi="Times New Roman" w:cs="Times New Roman"/>
          <w:sz w:val="20"/>
          <w:szCs w:val="20"/>
        </w:rPr>
        <w:footnoteRef/>
      </w:r>
      <w:r w:rsidRPr="00890E2A">
        <w:rPr>
          <w:rFonts w:ascii="Times New Roman" w:hAnsi="Times New Roman" w:cs="Times New Roman"/>
          <w:sz w:val="20"/>
          <w:szCs w:val="20"/>
        </w:rPr>
        <w:t xml:space="preserve">“Todas las instituciones del Sistema Nacional Integrado de Salud tendrán la obligación de cumplir con lo preceptuado en la presente ley. A tales efectos, deberán establecer las condiciones técnico-profesionales y administrativas necesarias para posibilitar a sus usuarias el acceso a dichos procedimientos dentro de los plazos establecidos. Las instituciones referidas en el inciso anterior, que tengan </w:t>
      </w:r>
      <w:r w:rsidRPr="00890E2A">
        <w:rPr>
          <w:rFonts w:ascii="Times New Roman" w:hAnsi="Times New Roman" w:cs="Times New Roman"/>
          <w:i/>
          <w:sz w:val="20"/>
          <w:szCs w:val="20"/>
        </w:rPr>
        <w:t>objeciones de ideario</w:t>
      </w:r>
      <w:r w:rsidRPr="00890E2A">
        <w:rPr>
          <w:rFonts w:ascii="Times New Roman" w:hAnsi="Times New Roman" w:cs="Times New Roman"/>
          <w:sz w:val="20"/>
          <w:szCs w:val="20"/>
        </w:rPr>
        <w:t>, preexistentes a la vigencia de esta ley, con respecto a los procedimientos de interrupción voluntaria del embarazo que se regulan en los artículos anteriores, podrán acordar con el Ministerio de Salud Pública, dentro del marco normativo que regula el Sistema Nacional Integrado de Salud, la forma en que sus usuarias accederán a tales procedimientos”.</w:t>
      </w:r>
    </w:p>
  </w:footnote>
  <w:footnote w:id="10">
    <w:p w:rsidR="0095132B" w:rsidRPr="00890E2A" w:rsidRDefault="0095132B" w:rsidP="00890E2A">
      <w:pPr>
        <w:jc w:val="both"/>
        <w:rPr>
          <w:rFonts w:ascii="Times New Roman" w:eastAsia="Times New Roman" w:hAnsi="Times New Roman" w:cs="Times New Roman"/>
          <w:color w:val="000000"/>
          <w:sz w:val="20"/>
          <w:szCs w:val="20"/>
        </w:rPr>
      </w:pPr>
      <w:r w:rsidRPr="00890E2A">
        <w:rPr>
          <w:rStyle w:val="Refdenotaalpie"/>
          <w:rFonts w:ascii="Times New Roman" w:hAnsi="Times New Roman" w:cs="Times New Roman"/>
          <w:sz w:val="20"/>
          <w:szCs w:val="20"/>
        </w:rPr>
        <w:footnoteRef/>
      </w:r>
      <w:r w:rsidRPr="00890E2A">
        <w:rPr>
          <w:rFonts w:ascii="Times New Roman" w:hAnsi="Times New Roman" w:cs="Times New Roman"/>
          <w:sz w:val="20"/>
          <w:szCs w:val="20"/>
        </w:rPr>
        <w:t xml:space="preserve"> Señala esta norma</w:t>
      </w:r>
      <w:r w:rsidRPr="00890E2A">
        <w:rPr>
          <w:rFonts w:ascii="Times New Roman" w:eastAsia="Times New Roman" w:hAnsi="Times New Roman" w:cs="Times New Roman"/>
          <w:color w:val="000000"/>
          <w:sz w:val="20"/>
          <w:szCs w:val="20"/>
        </w:rPr>
        <w:t>:</w:t>
      </w:r>
    </w:p>
    <w:p w:rsidR="0095132B" w:rsidRPr="00890E2A" w:rsidRDefault="0095132B" w:rsidP="00890E2A">
      <w:pPr>
        <w:jc w:val="both"/>
        <w:rPr>
          <w:rFonts w:ascii="Times New Roman" w:eastAsia="Times New Roman" w:hAnsi="Times New Roman" w:cs="Times New Roman"/>
          <w:color w:val="000000"/>
          <w:sz w:val="20"/>
          <w:szCs w:val="20"/>
        </w:rPr>
      </w:pPr>
      <w:r w:rsidRPr="00890E2A">
        <w:rPr>
          <w:rFonts w:ascii="Times New Roman" w:eastAsia="Times New Roman" w:hAnsi="Times New Roman" w:cs="Times New Roman"/>
          <w:color w:val="000000"/>
          <w:sz w:val="20"/>
          <w:szCs w:val="20"/>
        </w:rPr>
        <w:t>“1. Ninguna persona, hospital o institución será coaccionada, considerada civilmente responsable o discriminada debido a su rechazo a realizar, autorizar, participar o asistir en la práctica de un aborto, eutanasia o cualquier otro acto que cause la muerte de un feto humano o un embrión, por cualquier razón.</w:t>
      </w:r>
    </w:p>
    <w:p w:rsidR="0095132B" w:rsidRPr="00890E2A" w:rsidRDefault="0095132B" w:rsidP="00890E2A">
      <w:pPr>
        <w:jc w:val="both"/>
        <w:rPr>
          <w:rFonts w:ascii="Times New Roman" w:eastAsia="Times New Roman" w:hAnsi="Times New Roman" w:cs="Times New Roman"/>
          <w:color w:val="000000"/>
          <w:sz w:val="20"/>
          <w:szCs w:val="20"/>
        </w:rPr>
      </w:pPr>
      <w:r w:rsidRPr="00890E2A">
        <w:rPr>
          <w:rFonts w:ascii="Times New Roman" w:eastAsia="Times New Roman" w:hAnsi="Times New Roman" w:cs="Times New Roman"/>
          <w:color w:val="000000"/>
          <w:sz w:val="20"/>
          <w:szCs w:val="20"/>
        </w:rPr>
        <w:t>2. La Asamblea Parlamentaria enfatiza la necesidad de afirmar el derecho a la objeción de conciencia junto a la responsabilidad del Estado de asegurar que los pacientes tienen un acceso adecuado a la atención sanitaria prevista por la ley. La Asamblea es consciente de que el ejercicio sin regulación de la objeción de conciencia puede afectar de modo desproporcionado a las mujeres, especialmente a las que tienen bajos niveles de renta o viven en zonas rurales.</w:t>
      </w:r>
    </w:p>
    <w:p w:rsidR="0095132B" w:rsidRPr="00890E2A" w:rsidRDefault="0095132B" w:rsidP="00890E2A">
      <w:pPr>
        <w:spacing w:after="0" w:line="240" w:lineRule="auto"/>
        <w:jc w:val="both"/>
        <w:rPr>
          <w:rFonts w:ascii="Times New Roman" w:eastAsia="Times New Roman" w:hAnsi="Times New Roman" w:cs="Times New Roman"/>
          <w:color w:val="000000"/>
          <w:sz w:val="20"/>
          <w:szCs w:val="20"/>
        </w:rPr>
      </w:pPr>
      <w:r w:rsidRPr="00890E2A">
        <w:rPr>
          <w:rFonts w:ascii="Times New Roman" w:eastAsia="Times New Roman" w:hAnsi="Times New Roman" w:cs="Times New Roman"/>
          <w:color w:val="000000"/>
          <w:sz w:val="20"/>
          <w:szCs w:val="20"/>
        </w:rPr>
        <w:t>3. En la gran mayoría de los Estados miembros del Consejo de Europa, la práctica de la objeción de conciencia está regulada de modo adecuado. Existe un marco legal claro y completo que garantiza que –en el ejercicio de la objeción de conciencia por los profesionales sanitarios- se respetan los intereses y derechos de quienes buscan un acceso a prestaciones sanitarias admitidas por la ley.</w:t>
      </w:r>
    </w:p>
    <w:p w:rsidR="0095132B" w:rsidRPr="00890E2A" w:rsidRDefault="0095132B" w:rsidP="00890E2A">
      <w:pPr>
        <w:spacing w:after="0" w:line="240" w:lineRule="auto"/>
        <w:jc w:val="both"/>
        <w:rPr>
          <w:rFonts w:ascii="Times New Roman" w:eastAsia="Times New Roman" w:hAnsi="Times New Roman" w:cs="Times New Roman"/>
          <w:color w:val="000000"/>
          <w:sz w:val="20"/>
          <w:szCs w:val="20"/>
        </w:rPr>
      </w:pPr>
      <w:r w:rsidRPr="00890E2A">
        <w:rPr>
          <w:rFonts w:ascii="Times New Roman" w:eastAsia="Times New Roman" w:hAnsi="Times New Roman" w:cs="Times New Roman"/>
          <w:color w:val="000000"/>
          <w:sz w:val="20"/>
          <w:szCs w:val="20"/>
        </w:rPr>
        <w:t>4.- A la luz de las obligaciones de los Estados miembros de asegurar el acceso a los servicios y prestaciones sanitarias admitidas por la ley y de proteger el derecho a la protección de la salud, así como su obligación de asegurar el respeto al derecho a la libertad ideológica, de conciencia y religión de los profesionales sanitarios, la Asamblea invita a los Estados miembros del Consejo de Europa a desarrollar marcos legales claros y completos que definan y regulen la objeción de conciencia en relación con los servicios médicos y de salud, los cuales:</w:t>
      </w:r>
    </w:p>
    <w:p w:rsidR="0095132B" w:rsidRPr="00890E2A" w:rsidRDefault="0095132B" w:rsidP="00890E2A">
      <w:pPr>
        <w:spacing w:after="0" w:line="240" w:lineRule="auto"/>
        <w:ind w:firstLine="708"/>
        <w:jc w:val="both"/>
        <w:rPr>
          <w:rFonts w:ascii="Times New Roman" w:eastAsia="Times New Roman" w:hAnsi="Times New Roman" w:cs="Times New Roman"/>
          <w:color w:val="000000"/>
          <w:sz w:val="20"/>
          <w:szCs w:val="20"/>
        </w:rPr>
      </w:pPr>
      <w:r w:rsidRPr="00890E2A">
        <w:rPr>
          <w:rFonts w:ascii="Times New Roman" w:eastAsia="Times New Roman" w:hAnsi="Times New Roman" w:cs="Times New Roman"/>
          <w:color w:val="000000"/>
          <w:sz w:val="20"/>
          <w:szCs w:val="20"/>
        </w:rPr>
        <w:t>4.1. Garanticen el derecho a la objeción de conciencia en relación con la participación en el procedimiento en cuestión.</w:t>
      </w:r>
    </w:p>
    <w:p w:rsidR="0095132B" w:rsidRPr="00890E2A" w:rsidRDefault="0095132B" w:rsidP="00890E2A">
      <w:pPr>
        <w:spacing w:after="0" w:line="240" w:lineRule="auto"/>
        <w:ind w:firstLine="708"/>
        <w:jc w:val="both"/>
        <w:rPr>
          <w:rFonts w:ascii="Times New Roman" w:eastAsia="Times New Roman" w:hAnsi="Times New Roman" w:cs="Times New Roman"/>
          <w:color w:val="000000"/>
          <w:sz w:val="20"/>
          <w:szCs w:val="20"/>
        </w:rPr>
      </w:pPr>
      <w:r w:rsidRPr="00890E2A">
        <w:rPr>
          <w:rFonts w:ascii="Times New Roman" w:eastAsia="Times New Roman" w:hAnsi="Times New Roman" w:cs="Times New Roman"/>
          <w:color w:val="000000"/>
          <w:sz w:val="20"/>
          <w:szCs w:val="20"/>
        </w:rPr>
        <w:t>4.2. Aseguren que los pacientes son informados de cualquier objeción, en un plazo adecuado, así como que son derivados</w:t>
      </w:r>
    </w:p>
    <w:p w:rsidR="0095132B" w:rsidRPr="00890E2A" w:rsidRDefault="0095132B" w:rsidP="00890E2A">
      <w:pPr>
        <w:spacing w:after="0" w:line="240" w:lineRule="auto"/>
        <w:jc w:val="both"/>
        <w:rPr>
          <w:rFonts w:ascii="Times New Roman" w:eastAsia="Times New Roman" w:hAnsi="Times New Roman" w:cs="Times New Roman"/>
          <w:color w:val="000000"/>
          <w:sz w:val="20"/>
          <w:szCs w:val="20"/>
        </w:rPr>
      </w:pPr>
      <w:r w:rsidRPr="00890E2A">
        <w:rPr>
          <w:rFonts w:ascii="Times New Roman" w:eastAsia="Times New Roman" w:hAnsi="Times New Roman" w:cs="Times New Roman"/>
          <w:color w:val="000000"/>
          <w:sz w:val="20"/>
          <w:szCs w:val="20"/>
        </w:rPr>
        <w:t>a otro profesional sanitario.</w:t>
      </w:r>
    </w:p>
    <w:p w:rsidR="0095132B" w:rsidRPr="00890E2A" w:rsidRDefault="0095132B" w:rsidP="00890E2A">
      <w:pPr>
        <w:spacing w:after="0" w:line="240" w:lineRule="auto"/>
        <w:ind w:firstLine="708"/>
        <w:jc w:val="both"/>
        <w:rPr>
          <w:rFonts w:ascii="Times New Roman" w:eastAsia="Times New Roman" w:hAnsi="Times New Roman" w:cs="Times New Roman"/>
          <w:color w:val="000000"/>
          <w:sz w:val="20"/>
          <w:szCs w:val="20"/>
        </w:rPr>
      </w:pPr>
      <w:r w:rsidRPr="00890E2A">
        <w:rPr>
          <w:rFonts w:ascii="Times New Roman" w:eastAsia="Times New Roman" w:hAnsi="Times New Roman" w:cs="Times New Roman"/>
          <w:color w:val="000000"/>
          <w:sz w:val="20"/>
          <w:szCs w:val="20"/>
        </w:rPr>
        <w:t>4.3. Aseguren que los pacientes reciben tratamiento adecuado, en particular en casos de emergencia”.</w:t>
      </w:r>
    </w:p>
    <w:p w:rsidR="0095132B" w:rsidRPr="00890E2A" w:rsidRDefault="0095132B" w:rsidP="00890E2A">
      <w:pPr>
        <w:pStyle w:val="Textonotapie"/>
        <w:jc w:val="both"/>
        <w:rPr>
          <w:rFonts w:ascii="Times New Roman" w:hAnsi="Times New Roman" w:cs="Times New Roman"/>
        </w:rPr>
      </w:pPr>
    </w:p>
  </w:footnote>
  <w:footnote w:id="11">
    <w:p w:rsidR="0095132B" w:rsidRPr="00890E2A" w:rsidRDefault="0095132B" w:rsidP="00890E2A">
      <w:pPr>
        <w:pStyle w:val="Textonotapie"/>
        <w:jc w:val="both"/>
        <w:rPr>
          <w:rFonts w:ascii="Times New Roman" w:hAnsi="Times New Roman" w:cs="Times New Roman"/>
          <w:lang w:val="en-US"/>
        </w:rPr>
      </w:pPr>
      <w:r w:rsidRPr="00890E2A">
        <w:rPr>
          <w:rStyle w:val="Refdenotaalpie"/>
          <w:rFonts w:ascii="Times New Roman" w:hAnsi="Times New Roman" w:cs="Times New Roman"/>
        </w:rPr>
        <w:footnoteRef/>
      </w:r>
      <w:r w:rsidRPr="00890E2A">
        <w:rPr>
          <w:rFonts w:ascii="Times New Roman" w:hAnsi="Times New Roman" w:cs="Times New Roman"/>
          <w:lang w:val="en-US"/>
        </w:rPr>
        <w:t xml:space="preserve"> Cfr. See Seattle University Employer, 199 L.R.R.M. 1286 (April 17, 2014)</w:t>
      </w:r>
    </w:p>
  </w:footnote>
  <w:footnote w:id="12">
    <w:p w:rsidR="0095132B" w:rsidRPr="00890E2A" w:rsidRDefault="0095132B" w:rsidP="00890E2A">
      <w:pPr>
        <w:pStyle w:val="Textonotapie"/>
        <w:jc w:val="both"/>
        <w:rPr>
          <w:rFonts w:ascii="Times New Roman" w:hAnsi="Times New Roman" w:cs="Times New Roman"/>
        </w:rPr>
      </w:pPr>
      <w:r w:rsidRPr="00890E2A">
        <w:rPr>
          <w:rStyle w:val="Refdenotaalpie"/>
          <w:rFonts w:ascii="Times New Roman" w:hAnsi="Times New Roman" w:cs="Times New Roman"/>
        </w:rPr>
        <w:footnoteRef/>
      </w:r>
      <w:r w:rsidRPr="00890E2A">
        <w:rPr>
          <w:rFonts w:ascii="Times New Roman" w:hAnsi="Times New Roman" w:cs="Times New Roman"/>
        </w:rPr>
        <w:t xml:space="preserve"> </w:t>
      </w:r>
      <w:r w:rsidRPr="00890E2A">
        <w:rPr>
          <w:rFonts w:ascii="Times New Roman" w:hAnsi="Times New Roman" w:cs="Times New Roman"/>
          <w:smallCaps/>
        </w:rPr>
        <w:t>Asiaín</w:t>
      </w:r>
      <w:r w:rsidRPr="00890E2A">
        <w:rPr>
          <w:rFonts w:ascii="Times New Roman" w:hAnsi="Times New Roman" w:cs="Times New Roman"/>
        </w:rPr>
        <w:t>, Carmen, “Comentario al proyecto de ley de reconocimiento de la libertad de conciencia e ideario”, Revista de Derecho, Universidad de Montevideo, n° 22,  Montevideo, año 2013.</w:t>
      </w:r>
    </w:p>
    <w:p w:rsidR="0095132B" w:rsidRPr="00890E2A" w:rsidRDefault="0095132B" w:rsidP="00890E2A">
      <w:pPr>
        <w:pStyle w:val="Textonotapie"/>
        <w:jc w:val="both"/>
        <w:rPr>
          <w:rFonts w:ascii="Times New Roman" w:hAnsi="Times New Roman" w:cs="Times New Roman"/>
        </w:rPr>
      </w:pPr>
    </w:p>
  </w:footnote>
  <w:footnote w:id="13">
    <w:p w:rsidR="003F1F90" w:rsidRPr="00890E2A" w:rsidRDefault="003F1F90" w:rsidP="00890E2A">
      <w:pPr>
        <w:pStyle w:val="Textonotapie"/>
        <w:jc w:val="both"/>
        <w:rPr>
          <w:rFonts w:ascii="Times New Roman" w:hAnsi="Times New Roman" w:cs="Times New Roman"/>
        </w:rPr>
      </w:pPr>
      <w:r w:rsidRPr="00890E2A">
        <w:rPr>
          <w:rStyle w:val="Refdenotaalpie"/>
          <w:rFonts w:ascii="Times New Roman" w:hAnsi="Times New Roman" w:cs="Times New Roman"/>
        </w:rPr>
        <w:footnoteRef/>
      </w:r>
      <w:r w:rsidR="006F63F0" w:rsidRPr="00890E2A">
        <w:rPr>
          <w:rFonts w:ascii="Times New Roman" w:hAnsi="Times New Roman" w:cs="Times New Roman"/>
        </w:rPr>
        <w:t xml:space="preserve"> Cfr. </w:t>
      </w:r>
      <w:r w:rsidRPr="00890E2A">
        <w:rPr>
          <w:rFonts w:ascii="Times New Roman" w:hAnsi="Times New Roman" w:cs="Times New Roman"/>
        </w:rPr>
        <w:t>“Barros c/ Consejo Nacional de Educación” Fallos 301:151 (1979).</w:t>
      </w:r>
    </w:p>
  </w:footnote>
  <w:footnote w:id="14">
    <w:p w:rsidR="003F1F90" w:rsidRPr="00890E2A" w:rsidRDefault="003F1F90" w:rsidP="00890E2A">
      <w:pPr>
        <w:pStyle w:val="Textonotapie"/>
        <w:jc w:val="both"/>
        <w:rPr>
          <w:rFonts w:ascii="Times New Roman" w:hAnsi="Times New Roman" w:cs="Times New Roman"/>
        </w:rPr>
      </w:pPr>
      <w:r w:rsidRPr="00890E2A">
        <w:rPr>
          <w:rStyle w:val="Refdenotaalpie"/>
          <w:rFonts w:ascii="Times New Roman" w:hAnsi="Times New Roman" w:cs="Times New Roman"/>
        </w:rPr>
        <w:footnoteRef/>
      </w:r>
      <w:r w:rsidRPr="00890E2A">
        <w:rPr>
          <w:rFonts w:ascii="Times New Roman" w:hAnsi="Times New Roman" w:cs="Times New Roman"/>
        </w:rPr>
        <w:t xml:space="preserve"> Cfr. “Santa Cruz”, Fallos 303:151 (1979).</w:t>
      </w:r>
    </w:p>
  </w:footnote>
  <w:footnote w:id="15">
    <w:p w:rsidR="003F1F90" w:rsidRPr="00890E2A" w:rsidRDefault="003F1F90" w:rsidP="00890E2A">
      <w:pPr>
        <w:pStyle w:val="Textonotapie"/>
        <w:jc w:val="both"/>
        <w:rPr>
          <w:rFonts w:ascii="Times New Roman" w:hAnsi="Times New Roman" w:cs="Times New Roman"/>
        </w:rPr>
      </w:pPr>
      <w:r w:rsidRPr="00890E2A">
        <w:rPr>
          <w:rStyle w:val="Refdenotaalpie"/>
          <w:rFonts w:ascii="Times New Roman" w:hAnsi="Times New Roman" w:cs="Times New Roman"/>
        </w:rPr>
        <w:footnoteRef/>
      </w:r>
      <w:r w:rsidRPr="00890E2A">
        <w:rPr>
          <w:rFonts w:ascii="Times New Roman" w:hAnsi="Times New Roman" w:cs="Times New Roman"/>
        </w:rPr>
        <w:t xml:space="preserve"> La solución  adoptada en estos dos fallos fue finalmente adoptada por la Resolución 1818/84 del Ministerio de Educación.</w:t>
      </w:r>
    </w:p>
  </w:footnote>
  <w:footnote w:id="16">
    <w:p w:rsidR="003F1F90" w:rsidRPr="00890E2A" w:rsidRDefault="003F1F90" w:rsidP="00890E2A">
      <w:pPr>
        <w:pStyle w:val="Textonotapie"/>
        <w:jc w:val="both"/>
        <w:rPr>
          <w:rFonts w:ascii="Times New Roman" w:hAnsi="Times New Roman" w:cs="Times New Roman"/>
        </w:rPr>
      </w:pPr>
      <w:r w:rsidRPr="00890E2A">
        <w:rPr>
          <w:rStyle w:val="Refdenotaalpie"/>
          <w:rFonts w:ascii="Times New Roman" w:hAnsi="Times New Roman" w:cs="Times New Roman"/>
        </w:rPr>
        <w:footnoteRef/>
      </w:r>
      <w:r w:rsidRPr="00890E2A">
        <w:rPr>
          <w:rFonts w:ascii="Times New Roman" w:hAnsi="Times New Roman" w:cs="Times New Roman"/>
        </w:rPr>
        <w:t xml:space="preserve"> Cfr. “Portillo”, Fallos 312:496 (1989).</w:t>
      </w:r>
    </w:p>
  </w:footnote>
  <w:footnote w:id="17">
    <w:p w:rsidR="003F1F90" w:rsidRPr="00890E2A" w:rsidRDefault="003F1F90" w:rsidP="00890E2A">
      <w:pPr>
        <w:pStyle w:val="Textonotapie"/>
        <w:jc w:val="both"/>
        <w:rPr>
          <w:rFonts w:ascii="Times New Roman" w:hAnsi="Times New Roman" w:cs="Times New Roman"/>
        </w:rPr>
      </w:pPr>
      <w:r w:rsidRPr="00890E2A">
        <w:rPr>
          <w:rStyle w:val="Refdenotaalpie"/>
          <w:rFonts w:ascii="Times New Roman" w:hAnsi="Times New Roman" w:cs="Times New Roman"/>
        </w:rPr>
        <w:footnoteRef/>
      </w:r>
      <w:r w:rsidRPr="00890E2A">
        <w:rPr>
          <w:rFonts w:ascii="Times New Roman" w:hAnsi="Times New Roman" w:cs="Times New Roman"/>
        </w:rPr>
        <w:t xml:space="preserve"> Cfr. “Bahamondez”,, Fallos 316:479 (1993).</w:t>
      </w:r>
    </w:p>
  </w:footnote>
  <w:footnote w:id="18">
    <w:p w:rsidR="006F63F0" w:rsidRPr="00890E2A" w:rsidRDefault="006F63F0" w:rsidP="00890E2A">
      <w:pPr>
        <w:pStyle w:val="Textonotapie"/>
        <w:jc w:val="both"/>
        <w:rPr>
          <w:rFonts w:ascii="Times New Roman" w:hAnsi="Times New Roman" w:cs="Times New Roman"/>
        </w:rPr>
      </w:pPr>
      <w:r w:rsidRPr="00890E2A">
        <w:rPr>
          <w:rStyle w:val="Refdenotaalpie"/>
          <w:rFonts w:ascii="Times New Roman" w:hAnsi="Times New Roman" w:cs="Times New Roman"/>
        </w:rPr>
        <w:footnoteRef/>
      </w:r>
      <w:r w:rsidRPr="00890E2A">
        <w:rPr>
          <w:rFonts w:ascii="Times New Roman" w:hAnsi="Times New Roman" w:cs="Times New Roman"/>
        </w:rPr>
        <w:t xml:space="preserve"> Cfr. “Tanus c/ Gobierno de la Ciudad de Buenos Aires”, E.D. 191-429 (2001).</w:t>
      </w:r>
    </w:p>
  </w:footnote>
  <w:footnote w:id="19">
    <w:p w:rsidR="00D0114F" w:rsidRPr="00890E2A" w:rsidRDefault="00D0114F" w:rsidP="00890E2A">
      <w:pPr>
        <w:pStyle w:val="Textonotapie"/>
        <w:jc w:val="both"/>
        <w:rPr>
          <w:rFonts w:ascii="Times New Roman" w:hAnsi="Times New Roman" w:cs="Times New Roman"/>
        </w:rPr>
      </w:pPr>
      <w:r w:rsidRPr="00890E2A">
        <w:rPr>
          <w:rStyle w:val="Refdenotaalpie"/>
          <w:rFonts w:ascii="Times New Roman" w:hAnsi="Times New Roman" w:cs="Times New Roman"/>
        </w:rPr>
        <w:footnoteRef/>
      </w:r>
      <w:r w:rsidRPr="00890E2A">
        <w:rPr>
          <w:rFonts w:ascii="Times New Roman" w:hAnsi="Times New Roman" w:cs="Times New Roman"/>
        </w:rPr>
        <w:t xml:space="preserve"> Cfr. “Albarracín Nieves”, CS, 1-VI-12.</w:t>
      </w:r>
    </w:p>
  </w:footnote>
  <w:footnote w:id="20">
    <w:p w:rsidR="00890E2A" w:rsidRPr="00890E2A" w:rsidRDefault="00890E2A" w:rsidP="00CD531F">
      <w:pPr>
        <w:pStyle w:val="NormalWeb"/>
        <w:spacing w:before="72" w:beforeAutospacing="0" w:after="192" w:afterAutospacing="0"/>
        <w:jc w:val="both"/>
        <w:rPr>
          <w:sz w:val="20"/>
          <w:szCs w:val="20"/>
        </w:rPr>
      </w:pPr>
      <w:r w:rsidRPr="00890E2A">
        <w:rPr>
          <w:rStyle w:val="Refdenotaalpie"/>
          <w:sz w:val="20"/>
          <w:szCs w:val="20"/>
        </w:rPr>
        <w:footnoteRef/>
      </w:r>
      <w:r w:rsidRPr="00890E2A">
        <w:rPr>
          <w:sz w:val="20"/>
          <w:szCs w:val="20"/>
        </w:rPr>
        <w:t xml:space="preserve"> Para ampliar los fundamentos de esta postura, puede consultarse Navarro Floria, J. G., </w:t>
      </w:r>
      <w:r w:rsidRPr="00890E2A">
        <w:rPr>
          <w:rStyle w:val="nfasis"/>
          <w:rFonts w:eastAsiaTheme="minorEastAsia"/>
          <w:sz w:val="20"/>
          <w:szCs w:val="20"/>
        </w:rPr>
        <w:t>La llamada "objeción de conciencia institucional"</w:t>
      </w:r>
      <w:r w:rsidRPr="00890E2A">
        <w:rPr>
          <w:sz w:val="20"/>
          <w:szCs w:val="20"/>
        </w:rPr>
        <w:t>, Vida y Ética, Año 8, Nº 1, 2007, pág. 122. Ver también Toller, F., “El derecho a la objeción de conciencia de las instituciones”, en </w:t>
      </w:r>
      <w:r w:rsidRPr="00890E2A">
        <w:rPr>
          <w:rStyle w:val="nfasis"/>
          <w:rFonts w:eastAsiaTheme="minorEastAsia"/>
          <w:sz w:val="20"/>
          <w:szCs w:val="20"/>
        </w:rPr>
        <w:t>Revista</w:t>
      </w:r>
      <w:r w:rsidRPr="00890E2A">
        <w:rPr>
          <w:sz w:val="20"/>
          <w:szCs w:val="20"/>
        </w:rPr>
        <w:t> </w:t>
      </w:r>
      <w:r w:rsidRPr="00890E2A">
        <w:rPr>
          <w:rStyle w:val="nfasis"/>
          <w:rFonts w:eastAsiaTheme="minorEastAsia"/>
          <w:sz w:val="20"/>
          <w:szCs w:val="20"/>
        </w:rPr>
        <w:t>Vida y Ética</w:t>
      </w:r>
      <w:r w:rsidRPr="00890E2A">
        <w:rPr>
          <w:sz w:val="20"/>
          <w:szCs w:val="20"/>
        </w:rPr>
        <w:t>, Buenos Aires, Año 8, n. 2, Diciembre de 2007, p. 186-187.</w:t>
      </w:r>
    </w:p>
  </w:footnote>
  <w:footnote w:id="21">
    <w:p w:rsidR="0095132B" w:rsidRPr="00793A35" w:rsidRDefault="0095132B" w:rsidP="00890E2A">
      <w:pPr>
        <w:pStyle w:val="Textonotapie"/>
        <w:jc w:val="both"/>
        <w:rPr>
          <w:rFonts w:ascii="Times New Roman" w:hAnsi="Times New Roman" w:cs="Times New Roman"/>
        </w:rPr>
      </w:pPr>
      <w:r w:rsidRPr="00890E2A">
        <w:rPr>
          <w:rStyle w:val="Refdenotaalpie"/>
          <w:rFonts w:ascii="Times New Roman" w:hAnsi="Times New Roman" w:cs="Times New Roman"/>
        </w:rPr>
        <w:footnoteRef/>
      </w:r>
      <w:r w:rsidRPr="00793A35">
        <w:rPr>
          <w:rFonts w:ascii="Times New Roman" w:hAnsi="Times New Roman" w:cs="Times New Roman"/>
        </w:rPr>
        <w:t xml:space="preserve"> 565 U.S.</w:t>
      </w:r>
      <w:r w:rsidRPr="00793A35" w:rsidDel="00B97E1D">
        <w:rPr>
          <w:rFonts w:ascii="Times New Roman" w:hAnsi="Times New Roman" w:cs="Times New Roman"/>
        </w:rPr>
        <w:t xml:space="preserve"> </w:t>
      </w:r>
      <w:r w:rsidRPr="00793A35">
        <w:rPr>
          <w:rFonts w:ascii="Times New Roman" w:hAnsi="Times New Roman" w:cs="Times New Roman"/>
        </w:rPr>
        <w:t>2012; 132 S. Ct. 694; 181 L. Ed. 2d 650.</w:t>
      </w:r>
    </w:p>
  </w:footnote>
  <w:footnote w:id="22">
    <w:p w:rsidR="0095132B" w:rsidRPr="00890E2A" w:rsidRDefault="0095132B" w:rsidP="00890E2A">
      <w:pPr>
        <w:pStyle w:val="Textonotapie"/>
        <w:jc w:val="both"/>
        <w:rPr>
          <w:rFonts w:ascii="Times New Roman" w:hAnsi="Times New Roman" w:cs="Times New Roman"/>
        </w:rPr>
      </w:pPr>
      <w:r w:rsidRPr="00890E2A">
        <w:rPr>
          <w:rStyle w:val="Refdenotaalpie"/>
          <w:rFonts w:ascii="Times New Roman" w:hAnsi="Times New Roman" w:cs="Times New Roman"/>
        </w:rPr>
        <w:footnoteRef/>
      </w:r>
      <w:r w:rsidRPr="00890E2A">
        <w:rPr>
          <w:rFonts w:ascii="Times New Roman" w:hAnsi="Times New Roman" w:cs="Times New Roman"/>
        </w:rPr>
        <w:t xml:space="preserve"> Gran Sala de la Corte Europea de Derechos Humanos, 9-VII-13.</w:t>
      </w:r>
    </w:p>
  </w:footnote>
  <w:footnote w:id="23">
    <w:p w:rsidR="00A64874" w:rsidRPr="00A64874" w:rsidRDefault="00A64874" w:rsidP="00A64874">
      <w:pPr>
        <w:pStyle w:val="NormalWeb"/>
        <w:spacing w:before="72" w:beforeAutospacing="0" w:after="192" w:afterAutospacing="0"/>
        <w:jc w:val="both"/>
        <w:rPr>
          <w:sz w:val="20"/>
          <w:szCs w:val="20"/>
        </w:rPr>
      </w:pPr>
      <w:r w:rsidRPr="00A64874">
        <w:rPr>
          <w:rStyle w:val="Refdenotaalpie"/>
          <w:sz w:val="20"/>
          <w:szCs w:val="20"/>
        </w:rPr>
        <w:footnoteRef/>
      </w:r>
      <w:r w:rsidRPr="00A64874">
        <w:rPr>
          <w:sz w:val="20"/>
          <w:szCs w:val="20"/>
        </w:rPr>
        <w:t xml:space="preserve"> Puede verse un buen comentario a este fallo en</w:t>
      </w:r>
      <w:r>
        <w:rPr>
          <w:sz w:val="20"/>
          <w:szCs w:val="20"/>
        </w:rPr>
        <w:t xml:space="preserve">: </w:t>
      </w:r>
      <w:r w:rsidRPr="00A64874">
        <w:rPr>
          <w:sz w:val="20"/>
          <w:szCs w:val="20"/>
        </w:rPr>
        <w:t xml:space="preserve"> Didier, María Marta; Romero, José Ignacio y Parini, Nicolás Francisco, </w:t>
      </w:r>
      <w:r w:rsidRPr="00A64874">
        <w:rPr>
          <w:rStyle w:val="nfasis"/>
          <w:rFonts w:eastAsiaTheme="minorEastAsia"/>
          <w:sz w:val="20"/>
          <w:szCs w:val="20"/>
        </w:rPr>
        <w:t>Objeción de conciencia: un fallo trascendente de la Corte Suprema de Estados Unidos</w:t>
      </w:r>
      <w:r w:rsidRPr="00A64874">
        <w:rPr>
          <w:sz w:val="20"/>
          <w:szCs w:val="20"/>
        </w:rPr>
        <w:t>, La Ley, 2014-F, 206.</w:t>
      </w:r>
    </w:p>
  </w:footnote>
  <w:footnote w:id="24">
    <w:p w:rsidR="0095132B" w:rsidRPr="00890E2A" w:rsidRDefault="0095132B" w:rsidP="00890E2A">
      <w:pPr>
        <w:pStyle w:val="Textonotapie"/>
        <w:jc w:val="both"/>
        <w:rPr>
          <w:rFonts w:ascii="Times New Roman" w:hAnsi="Times New Roman" w:cs="Times New Roman"/>
        </w:rPr>
      </w:pPr>
      <w:r w:rsidRPr="00890E2A">
        <w:rPr>
          <w:rStyle w:val="Refdenotaalpie"/>
          <w:rFonts w:ascii="Times New Roman" w:hAnsi="Times New Roman" w:cs="Times New Roman"/>
        </w:rPr>
        <w:footnoteRef/>
      </w:r>
      <w:r w:rsidRPr="00890E2A">
        <w:rPr>
          <w:rFonts w:ascii="Times New Roman" w:hAnsi="Times New Roman" w:cs="Times New Roman"/>
          <w:lang w:val="en-US"/>
        </w:rPr>
        <w:t xml:space="preserve"> Esta postura ya había sido anticipada por algunos autores: cfr. </w:t>
      </w:r>
      <w:r w:rsidRPr="00890E2A">
        <w:rPr>
          <w:rFonts w:ascii="Times New Roman" w:hAnsi="Times New Roman" w:cs="Times New Roman"/>
          <w:smallCaps/>
          <w:lang w:val="en-US"/>
        </w:rPr>
        <w:t>Wardle</w:t>
      </w:r>
      <w:r w:rsidRPr="00890E2A">
        <w:rPr>
          <w:rFonts w:ascii="Times New Roman" w:hAnsi="Times New Roman" w:cs="Times New Roman"/>
          <w:lang w:val="en-US"/>
        </w:rPr>
        <w:t xml:space="preserve">, Lynn D., “Protecting the Rights of Conscience of Health Care Providers”, </w:t>
      </w:r>
      <w:r w:rsidRPr="00890E2A">
        <w:rPr>
          <w:rFonts w:ascii="Times New Roman" w:hAnsi="Times New Roman" w:cs="Times New Roman"/>
          <w:i/>
          <w:lang w:val="en-US"/>
        </w:rPr>
        <w:t>Journal of Legal Medicine</w:t>
      </w:r>
      <w:r w:rsidRPr="00890E2A">
        <w:rPr>
          <w:rFonts w:ascii="Times New Roman" w:hAnsi="Times New Roman" w:cs="Times New Roman"/>
          <w:lang w:val="en-US"/>
        </w:rPr>
        <w:t xml:space="preserve"> 14 (1993) 177-230; </w:t>
      </w:r>
      <w:r w:rsidRPr="00890E2A">
        <w:rPr>
          <w:rFonts w:ascii="Times New Roman" w:hAnsi="Times New Roman" w:cs="Times New Roman"/>
          <w:smallCaps/>
          <w:lang w:val="en-US"/>
        </w:rPr>
        <w:t>Boozang</w:t>
      </w:r>
      <w:r w:rsidRPr="00890E2A">
        <w:rPr>
          <w:rFonts w:ascii="Times New Roman" w:hAnsi="Times New Roman" w:cs="Times New Roman"/>
          <w:lang w:val="en-US"/>
        </w:rPr>
        <w:t xml:space="preserve">, Kathleen M., “Deciding the Fate of Religious Hospitals in the Emerging Health Care Market”, </w:t>
      </w:r>
      <w:r w:rsidRPr="00890E2A">
        <w:rPr>
          <w:rFonts w:ascii="Times New Roman" w:hAnsi="Times New Roman" w:cs="Times New Roman"/>
          <w:i/>
          <w:lang w:val="en-US"/>
        </w:rPr>
        <w:t>Houston Law Review</w:t>
      </w:r>
      <w:r w:rsidRPr="00890E2A">
        <w:rPr>
          <w:rFonts w:ascii="Times New Roman" w:hAnsi="Times New Roman" w:cs="Times New Roman"/>
          <w:lang w:val="en-US"/>
        </w:rPr>
        <w:t xml:space="preserve"> 31 (1995) 1429-1516; </w:t>
      </w:r>
      <w:r w:rsidRPr="00890E2A">
        <w:rPr>
          <w:rFonts w:ascii="Times New Roman" w:hAnsi="Times New Roman" w:cs="Times New Roman"/>
          <w:smallCaps/>
          <w:lang w:val="en-US"/>
        </w:rPr>
        <w:t>Frank</w:t>
      </w:r>
      <w:r w:rsidRPr="00890E2A">
        <w:rPr>
          <w:rFonts w:ascii="Times New Roman" w:hAnsi="Times New Roman" w:cs="Times New Roman"/>
          <w:lang w:val="en-US"/>
        </w:rPr>
        <w:t xml:space="preserve">, Michael J., “Safeguarding the Consciences of Hospitals and Health Care Personnel: How the Graduate Medical Education Guidelines Demonstrate a Continued Need for Protective Jurisprudence and Legislation”, </w:t>
      </w:r>
      <w:r w:rsidRPr="00890E2A">
        <w:rPr>
          <w:rFonts w:ascii="Times New Roman" w:hAnsi="Times New Roman" w:cs="Times New Roman"/>
          <w:i/>
          <w:lang w:val="en-US"/>
        </w:rPr>
        <w:t>Saint Louis University Law Journal</w:t>
      </w:r>
      <w:r w:rsidRPr="00890E2A">
        <w:rPr>
          <w:rFonts w:ascii="Times New Roman" w:hAnsi="Times New Roman" w:cs="Times New Roman"/>
          <w:lang w:val="en-US"/>
        </w:rPr>
        <w:t xml:space="preserve"> 41 (1996) 311-351; </w:t>
      </w:r>
      <w:r w:rsidRPr="00890E2A">
        <w:rPr>
          <w:rFonts w:ascii="Times New Roman" w:hAnsi="Times New Roman" w:cs="Times New Roman"/>
          <w:smallCaps/>
          <w:lang w:val="en-US"/>
        </w:rPr>
        <w:t>Kellhofer,</w:t>
      </w:r>
      <w:r w:rsidRPr="00890E2A">
        <w:rPr>
          <w:rFonts w:ascii="Times New Roman" w:hAnsi="Times New Roman" w:cs="Times New Roman"/>
          <w:lang w:val="en-US"/>
        </w:rPr>
        <w:t xml:space="preserve"> Jason M., “The Misperception and Misapplication of the First Amendment in the American Pluralistic System: Mergers Between Catholic and Non-Catholic Healthcare Systems”, </w:t>
      </w:r>
      <w:r w:rsidRPr="00890E2A">
        <w:rPr>
          <w:rFonts w:ascii="Times New Roman" w:hAnsi="Times New Roman" w:cs="Times New Roman"/>
          <w:i/>
          <w:lang w:val="en-US"/>
        </w:rPr>
        <w:t>Journal of Law and Health</w:t>
      </w:r>
      <w:r w:rsidRPr="00890E2A">
        <w:rPr>
          <w:rFonts w:ascii="Times New Roman" w:hAnsi="Times New Roman" w:cs="Times New Roman"/>
          <w:lang w:val="en-US"/>
        </w:rPr>
        <w:t xml:space="preserve"> 16 (2001-2002) 103-143; </w:t>
      </w:r>
      <w:r w:rsidRPr="00890E2A">
        <w:rPr>
          <w:rFonts w:ascii="Times New Roman" w:hAnsi="Times New Roman" w:cs="Times New Roman"/>
          <w:smallCaps/>
          <w:lang w:val="en-US"/>
        </w:rPr>
        <w:t>Greenawalt</w:t>
      </w:r>
      <w:r w:rsidRPr="00890E2A">
        <w:rPr>
          <w:rFonts w:ascii="Times New Roman" w:hAnsi="Times New Roman" w:cs="Times New Roman"/>
          <w:lang w:val="en-US"/>
        </w:rPr>
        <w:t xml:space="preserve">, Kent, “Objections in Conscience to Medical Procedures: Does Religion Make a Difference?, </w:t>
      </w:r>
      <w:r w:rsidRPr="00890E2A">
        <w:rPr>
          <w:rFonts w:ascii="Times New Roman" w:hAnsi="Times New Roman" w:cs="Times New Roman"/>
          <w:i/>
          <w:lang w:val="en-US"/>
        </w:rPr>
        <w:t>University of Illinois Law Review</w:t>
      </w:r>
      <w:r w:rsidRPr="00890E2A">
        <w:rPr>
          <w:rFonts w:ascii="Times New Roman" w:hAnsi="Times New Roman" w:cs="Times New Roman"/>
          <w:lang w:val="en-US"/>
        </w:rPr>
        <w:t xml:space="preserve"> (2006) 799-825 (señalando que la objeción de conciencia también puede apoyarse en estos casos en elementos no religiosos); y </w:t>
      </w:r>
      <w:r w:rsidRPr="00890E2A">
        <w:rPr>
          <w:rFonts w:ascii="Times New Roman" w:hAnsi="Times New Roman" w:cs="Times New Roman"/>
          <w:smallCaps/>
          <w:lang w:val="en-US"/>
        </w:rPr>
        <w:t>O'Callaghan</w:t>
      </w:r>
      <w:r w:rsidRPr="00890E2A">
        <w:rPr>
          <w:rFonts w:ascii="Times New Roman" w:hAnsi="Times New Roman" w:cs="Times New Roman"/>
          <w:lang w:val="en-US"/>
        </w:rPr>
        <w:t xml:space="preserve">, Nora, “Lessons from Pharaho and the Hebrew Midwives: Conscientious Objection to State Mandates as a Free Exercise Right”, </w:t>
      </w:r>
      <w:r w:rsidRPr="00890E2A">
        <w:rPr>
          <w:rFonts w:ascii="Times New Roman" w:hAnsi="Times New Roman" w:cs="Times New Roman"/>
          <w:i/>
          <w:lang w:val="en-US"/>
        </w:rPr>
        <w:t>Creighton Law Review</w:t>
      </w:r>
      <w:r w:rsidRPr="00890E2A">
        <w:rPr>
          <w:rFonts w:ascii="Times New Roman" w:hAnsi="Times New Roman" w:cs="Times New Roman"/>
          <w:lang w:val="en-US"/>
        </w:rPr>
        <w:t xml:space="preserve"> 39 (2006) 561-639. </w:t>
      </w:r>
      <w:r w:rsidRPr="00890E2A">
        <w:rPr>
          <w:rFonts w:ascii="Times New Roman" w:hAnsi="Times New Roman" w:cs="Times New Roman"/>
        </w:rPr>
        <w:t xml:space="preserve">Cfr. </w:t>
      </w:r>
      <w:r w:rsidRPr="00890E2A">
        <w:rPr>
          <w:rFonts w:ascii="Times New Roman" w:hAnsi="Times New Roman" w:cs="Times New Roman"/>
          <w:smallCaps/>
        </w:rPr>
        <w:t>Toller</w:t>
      </w:r>
      <w:r w:rsidRPr="00890E2A">
        <w:rPr>
          <w:rFonts w:ascii="Times New Roman" w:hAnsi="Times New Roman" w:cs="Times New Roman"/>
        </w:rPr>
        <w:t>, Fernando, “El Derecho a la objeción de conciencia de las instituciones”.</w:t>
      </w:r>
    </w:p>
    <w:p w:rsidR="0095132B" w:rsidRPr="00890E2A" w:rsidRDefault="0095132B" w:rsidP="00890E2A">
      <w:pPr>
        <w:pStyle w:val="Textonotapie"/>
        <w:jc w:val="both"/>
        <w:rPr>
          <w:rFonts w:ascii="Times New Roman" w:hAnsi="Times New Roman" w:cs="Times New Roman"/>
        </w:rPr>
      </w:pPr>
    </w:p>
  </w:footnote>
  <w:footnote w:id="25">
    <w:p w:rsidR="0095132B" w:rsidRPr="00890E2A" w:rsidRDefault="0095132B" w:rsidP="00890E2A">
      <w:pPr>
        <w:pStyle w:val="Textonotapie"/>
        <w:jc w:val="both"/>
        <w:rPr>
          <w:rFonts w:ascii="Times New Roman" w:hAnsi="Times New Roman" w:cs="Times New Roman"/>
        </w:rPr>
      </w:pPr>
      <w:r w:rsidRPr="00890E2A">
        <w:rPr>
          <w:rStyle w:val="Refdenotaalpie"/>
          <w:rFonts w:ascii="Times New Roman" w:hAnsi="Times New Roman" w:cs="Times New Roman"/>
        </w:rPr>
        <w:footnoteRef/>
      </w:r>
      <w:r w:rsidRPr="00890E2A">
        <w:rPr>
          <w:rFonts w:ascii="Times New Roman" w:hAnsi="Times New Roman" w:cs="Times New Roman"/>
        </w:rPr>
        <w:t xml:space="preserve"> Cfr. </w:t>
      </w:r>
      <w:r w:rsidRPr="00890E2A">
        <w:rPr>
          <w:rFonts w:ascii="Times New Roman" w:hAnsi="Times New Roman" w:cs="Times New Roman"/>
          <w:i/>
        </w:rPr>
        <w:t xml:space="preserve">Boletín del Centro de Bioética </w:t>
      </w:r>
      <w:r w:rsidRPr="00890E2A">
        <w:rPr>
          <w:rFonts w:ascii="Times New Roman" w:hAnsi="Times New Roman" w:cs="Times New Roman"/>
        </w:rPr>
        <w:t>de la Universidad Católica Argentina, del 4-VII-2014.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1146"/>
        </w:tabs>
        <w:ind w:left="1146" w:hanging="360"/>
      </w:pPr>
      <w:rPr>
        <w:rFonts w:ascii="Symbol" w:hAnsi="Symbol"/>
      </w:rPr>
    </w:lvl>
  </w:abstractNum>
  <w:abstractNum w:abstractNumId="1">
    <w:nsid w:val="077D7CD3"/>
    <w:multiLevelType w:val="hybridMultilevel"/>
    <w:tmpl w:val="EDBAC23A"/>
    <w:lvl w:ilvl="0" w:tplc="E3F27AEE">
      <w:start w:val="1"/>
      <w:numFmt w:val="upperRoman"/>
      <w:lvlText w:val="%1."/>
      <w:lvlJc w:val="left"/>
      <w:pPr>
        <w:ind w:left="1080" w:hanging="720"/>
      </w:pPr>
      <w:rPr>
        <w:i w:val="0"/>
      </w:r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2">
    <w:nsid w:val="256014FD"/>
    <w:multiLevelType w:val="hybridMultilevel"/>
    <w:tmpl w:val="F796B95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7D113E3"/>
    <w:multiLevelType w:val="hybridMultilevel"/>
    <w:tmpl w:val="53C060F0"/>
    <w:lvl w:ilvl="0" w:tplc="1CFEBF82">
      <w:start w:val="1"/>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C940BD7"/>
    <w:multiLevelType w:val="hybridMultilevel"/>
    <w:tmpl w:val="2E166C9E"/>
    <w:lvl w:ilvl="0" w:tplc="00843686">
      <w:start w:val="3843"/>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2B"/>
    <w:rsid w:val="00024EFA"/>
    <w:rsid w:val="00034C97"/>
    <w:rsid w:val="000B6882"/>
    <w:rsid w:val="002529BF"/>
    <w:rsid w:val="002B302A"/>
    <w:rsid w:val="003E338E"/>
    <w:rsid w:val="003F1F90"/>
    <w:rsid w:val="00443CDF"/>
    <w:rsid w:val="004B77C1"/>
    <w:rsid w:val="004D0C18"/>
    <w:rsid w:val="00657196"/>
    <w:rsid w:val="006F63F0"/>
    <w:rsid w:val="00752633"/>
    <w:rsid w:val="007641FE"/>
    <w:rsid w:val="00793A35"/>
    <w:rsid w:val="00793EF7"/>
    <w:rsid w:val="0088392D"/>
    <w:rsid w:val="00890E2A"/>
    <w:rsid w:val="009147D4"/>
    <w:rsid w:val="0095132B"/>
    <w:rsid w:val="009A4A62"/>
    <w:rsid w:val="009B179F"/>
    <w:rsid w:val="00A06EC5"/>
    <w:rsid w:val="00A26C95"/>
    <w:rsid w:val="00A3551C"/>
    <w:rsid w:val="00A403DB"/>
    <w:rsid w:val="00A64874"/>
    <w:rsid w:val="00AB1322"/>
    <w:rsid w:val="00BD1F8D"/>
    <w:rsid w:val="00BF39AE"/>
    <w:rsid w:val="00C20CD8"/>
    <w:rsid w:val="00C52871"/>
    <w:rsid w:val="00CD531F"/>
    <w:rsid w:val="00D0114F"/>
    <w:rsid w:val="00D07ABF"/>
    <w:rsid w:val="00D65678"/>
    <w:rsid w:val="00D66530"/>
    <w:rsid w:val="00F17FAA"/>
    <w:rsid w:val="00F423EA"/>
    <w:rsid w:val="00F67702"/>
    <w:rsid w:val="00F96992"/>
    <w:rsid w:val="00FE59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41BED-4F84-4906-B06E-F2E87F70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E59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5132B"/>
    <w:pPr>
      <w:keepNext/>
      <w:keepLines/>
      <w:spacing w:before="200" w:after="0"/>
      <w:outlineLvl w:val="1"/>
    </w:pPr>
    <w:rPr>
      <w:rFonts w:asciiTheme="majorHAnsi" w:eastAsiaTheme="majorEastAsia" w:hAnsiTheme="majorHAnsi" w:cstheme="majorBidi"/>
      <w:b/>
      <w:bCs/>
      <w:color w:val="4F81BD" w:themeColor="accent1"/>
      <w:sz w:val="26"/>
      <w:szCs w:val="26"/>
      <w:lang w:eastAsia="es-AR"/>
    </w:rPr>
  </w:style>
  <w:style w:type="paragraph" w:styleId="Ttulo3">
    <w:name w:val="heading 3"/>
    <w:basedOn w:val="Normal"/>
    <w:next w:val="Normal"/>
    <w:link w:val="Ttulo3Car"/>
    <w:qFormat/>
    <w:rsid w:val="00D65678"/>
    <w:pPr>
      <w:keepNext/>
      <w:spacing w:before="240" w:after="60" w:line="240" w:lineRule="auto"/>
      <w:outlineLvl w:val="2"/>
    </w:pPr>
    <w:rPr>
      <w:rFonts w:ascii="Arial" w:eastAsia="Times New Roman" w:hAnsi="Arial" w:cs="Arial"/>
      <w:b/>
      <w:bCs/>
      <w:spacing w:val="20"/>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reference,FA Fu,Footnote Text Char Char Char Char Char,Footnote Text Char Char Char Char,ft"/>
    <w:basedOn w:val="Normal"/>
    <w:link w:val="TextonotapieCar"/>
    <w:uiPriority w:val="99"/>
    <w:unhideWhenUsed/>
    <w:rsid w:val="0095132B"/>
    <w:pPr>
      <w:spacing w:after="0" w:line="240" w:lineRule="auto"/>
    </w:pPr>
    <w:rPr>
      <w:rFonts w:eastAsiaTheme="minorEastAsia"/>
      <w:sz w:val="20"/>
      <w:szCs w:val="20"/>
      <w:lang w:eastAsia="es-AR"/>
    </w:rPr>
  </w:style>
  <w:style w:type="character" w:customStyle="1" w:styleId="TextonotapieCar">
    <w:name w:val="Texto nota pie Car"/>
    <w:aliases w:val="Footnote reference Car,FA Fu Car,Footnote Text Char Char Char Char Char Car,Footnote Text Char Char Char Char Car,ft Car"/>
    <w:basedOn w:val="Fuentedeprrafopredeter"/>
    <w:link w:val="Textonotapie"/>
    <w:uiPriority w:val="99"/>
    <w:rsid w:val="0095132B"/>
    <w:rPr>
      <w:rFonts w:eastAsiaTheme="minorEastAsia"/>
      <w:sz w:val="20"/>
      <w:szCs w:val="20"/>
      <w:lang w:eastAsia="es-AR"/>
    </w:rPr>
  </w:style>
  <w:style w:type="character" w:styleId="Refdenotaalpie">
    <w:name w:val="footnote reference"/>
    <w:basedOn w:val="Fuentedeprrafopredeter"/>
    <w:semiHidden/>
    <w:unhideWhenUsed/>
    <w:rsid w:val="0095132B"/>
    <w:rPr>
      <w:vertAlign w:val="superscript"/>
    </w:rPr>
  </w:style>
  <w:style w:type="paragraph" w:styleId="Prrafodelista">
    <w:name w:val="List Paragraph"/>
    <w:basedOn w:val="Normal"/>
    <w:uiPriority w:val="34"/>
    <w:qFormat/>
    <w:rsid w:val="0095132B"/>
    <w:pPr>
      <w:ind w:left="720"/>
      <w:contextualSpacing/>
    </w:pPr>
    <w:rPr>
      <w:rFonts w:eastAsiaTheme="minorEastAsia"/>
      <w:lang w:eastAsia="es-AR"/>
    </w:rPr>
  </w:style>
  <w:style w:type="paragraph" w:styleId="NormalWeb">
    <w:name w:val="Normal (Web)"/>
    <w:basedOn w:val="Normal"/>
    <w:uiPriority w:val="99"/>
    <w:unhideWhenUsed/>
    <w:rsid w:val="0095132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rsid w:val="0095132B"/>
    <w:rPr>
      <w:rFonts w:asciiTheme="majorHAnsi" w:eastAsiaTheme="majorEastAsia" w:hAnsiTheme="majorHAnsi" w:cstheme="majorBidi"/>
      <w:b/>
      <w:bCs/>
      <w:color w:val="4F81BD" w:themeColor="accent1"/>
      <w:sz w:val="26"/>
      <w:szCs w:val="26"/>
      <w:lang w:eastAsia="es-AR"/>
    </w:rPr>
  </w:style>
  <w:style w:type="paragraph" w:customStyle="1" w:styleId="FormatoRedaccin">
    <w:name w:val="Formato Redacción"/>
    <w:basedOn w:val="Normal"/>
    <w:autoRedefine/>
    <w:rsid w:val="0095132B"/>
    <w:pPr>
      <w:spacing w:after="0" w:line="240" w:lineRule="auto"/>
      <w:ind w:firstLine="720"/>
      <w:jc w:val="both"/>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95132B"/>
    <w:rPr>
      <w:i/>
      <w:iCs/>
    </w:rPr>
  </w:style>
  <w:style w:type="character" w:customStyle="1" w:styleId="Ttulo3Car">
    <w:name w:val="Título 3 Car"/>
    <w:basedOn w:val="Fuentedeprrafopredeter"/>
    <w:link w:val="Ttulo3"/>
    <w:rsid w:val="00D65678"/>
    <w:rPr>
      <w:rFonts w:ascii="Arial" w:eastAsia="Times New Roman" w:hAnsi="Arial" w:cs="Arial"/>
      <w:b/>
      <w:bCs/>
      <w:spacing w:val="20"/>
      <w:sz w:val="26"/>
      <w:szCs w:val="26"/>
      <w:lang w:val="es-ES" w:eastAsia="es-ES"/>
    </w:rPr>
  </w:style>
  <w:style w:type="paragraph" w:styleId="Textodeglobo">
    <w:name w:val="Balloon Text"/>
    <w:basedOn w:val="Normal"/>
    <w:link w:val="TextodegloboCar"/>
    <w:uiPriority w:val="99"/>
    <w:semiHidden/>
    <w:unhideWhenUsed/>
    <w:rsid w:val="003E33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338E"/>
    <w:rPr>
      <w:rFonts w:ascii="Tahoma" w:hAnsi="Tahoma" w:cs="Tahoma"/>
      <w:sz w:val="16"/>
      <w:szCs w:val="16"/>
    </w:rPr>
  </w:style>
  <w:style w:type="character" w:customStyle="1" w:styleId="Ttulo1Car">
    <w:name w:val="Título 1 Car"/>
    <w:basedOn w:val="Fuentedeprrafopredeter"/>
    <w:link w:val="Ttulo1"/>
    <w:uiPriority w:val="9"/>
    <w:rsid w:val="00FE596B"/>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2529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9BF"/>
  </w:style>
  <w:style w:type="paragraph" w:styleId="Piedepgina">
    <w:name w:val="footer"/>
    <w:basedOn w:val="Normal"/>
    <w:link w:val="PiedepginaCar"/>
    <w:uiPriority w:val="99"/>
    <w:unhideWhenUsed/>
    <w:rsid w:val="002529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9BF"/>
  </w:style>
  <w:style w:type="paragraph" w:styleId="TtulodeTDC">
    <w:name w:val="TOC Heading"/>
    <w:basedOn w:val="Ttulo1"/>
    <w:next w:val="Normal"/>
    <w:uiPriority w:val="39"/>
    <w:semiHidden/>
    <w:unhideWhenUsed/>
    <w:qFormat/>
    <w:rsid w:val="002529BF"/>
    <w:pPr>
      <w:outlineLvl w:val="9"/>
    </w:pPr>
    <w:rPr>
      <w:lang w:eastAsia="es-AR"/>
    </w:rPr>
  </w:style>
  <w:style w:type="paragraph" w:styleId="TDC1">
    <w:name w:val="toc 1"/>
    <w:basedOn w:val="Normal"/>
    <w:next w:val="Normal"/>
    <w:autoRedefine/>
    <w:uiPriority w:val="39"/>
    <w:unhideWhenUsed/>
    <w:rsid w:val="002529BF"/>
    <w:pPr>
      <w:spacing w:after="100"/>
    </w:pPr>
  </w:style>
  <w:style w:type="paragraph" w:styleId="TDC3">
    <w:name w:val="toc 3"/>
    <w:basedOn w:val="Normal"/>
    <w:next w:val="Normal"/>
    <w:autoRedefine/>
    <w:uiPriority w:val="39"/>
    <w:unhideWhenUsed/>
    <w:rsid w:val="002529BF"/>
    <w:pPr>
      <w:spacing w:after="100"/>
      <w:ind w:left="440"/>
    </w:pPr>
  </w:style>
  <w:style w:type="character" w:styleId="Hipervnculo">
    <w:name w:val="Hyperlink"/>
    <w:basedOn w:val="Fuentedeprrafopredeter"/>
    <w:uiPriority w:val="99"/>
    <w:unhideWhenUsed/>
    <w:rsid w:val="002529BF"/>
    <w:rPr>
      <w:color w:val="0000FF" w:themeColor="hyperlink"/>
      <w:u w:val="single"/>
    </w:rPr>
  </w:style>
  <w:style w:type="paragraph" w:styleId="Sinespaciado">
    <w:name w:val="No Spacing"/>
    <w:basedOn w:val="Normal"/>
    <w:uiPriority w:val="1"/>
    <w:qFormat/>
    <w:rsid w:val="00F17FAA"/>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7564">
      <w:bodyDiv w:val="1"/>
      <w:marLeft w:val="0"/>
      <w:marRight w:val="0"/>
      <w:marTop w:val="0"/>
      <w:marBottom w:val="0"/>
      <w:divBdr>
        <w:top w:val="none" w:sz="0" w:space="0" w:color="auto"/>
        <w:left w:val="none" w:sz="0" w:space="0" w:color="auto"/>
        <w:bottom w:val="none" w:sz="0" w:space="0" w:color="auto"/>
        <w:right w:val="none" w:sz="0" w:space="0" w:color="auto"/>
      </w:divBdr>
    </w:div>
    <w:div w:id="1144199252">
      <w:bodyDiv w:val="1"/>
      <w:marLeft w:val="0"/>
      <w:marRight w:val="0"/>
      <w:marTop w:val="0"/>
      <w:marBottom w:val="0"/>
      <w:divBdr>
        <w:top w:val="none" w:sz="0" w:space="0" w:color="auto"/>
        <w:left w:val="none" w:sz="0" w:space="0" w:color="auto"/>
        <w:bottom w:val="none" w:sz="0" w:space="0" w:color="auto"/>
        <w:right w:val="none" w:sz="0" w:space="0" w:color="auto"/>
      </w:divBdr>
    </w:div>
    <w:div w:id="1153570326">
      <w:bodyDiv w:val="1"/>
      <w:marLeft w:val="0"/>
      <w:marRight w:val="0"/>
      <w:marTop w:val="0"/>
      <w:marBottom w:val="0"/>
      <w:divBdr>
        <w:top w:val="none" w:sz="0" w:space="0" w:color="auto"/>
        <w:left w:val="none" w:sz="0" w:space="0" w:color="auto"/>
        <w:bottom w:val="none" w:sz="0" w:space="0" w:color="auto"/>
        <w:right w:val="none" w:sz="0" w:space="0" w:color="auto"/>
      </w:divBdr>
    </w:div>
    <w:div w:id="1351569629">
      <w:bodyDiv w:val="1"/>
      <w:marLeft w:val="0"/>
      <w:marRight w:val="0"/>
      <w:marTop w:val="0"/>
      <w:marBottom w:val="0"/>
      <w:divBdr>
        <w:top w:val="none" w:sz="0" w:space="0" w:color="auto"/>
        <w:left w:val="none" w:sz="0" w:space="0" w:color="auto"/>
        <w:bottom w:val="none" w:sz="0" w:space="0" w:color="auto"/>
        <w:right w:val="none" w:sz="0" w:space="0" w:color="auto"/>
      </w:divBdr>
    </w:div>
    <w:div w:id="149640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21171-4AFB-4BA7-9611-823D119E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4459</Words>
  <Characters>24525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Universidad Austral</Company>
  <LinksUpToDate>false</LinksUpToDate>
  <CharactersWithSpaces>28927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Alfonso</dc:creator>
  <cp:lastModifiedBy>Santiago Alfonso</cp:lastModifiedBy>
  <cp:revision>2</cp:revision>
  <cp:lastPrinted>2015-09-24T15:26:00Z</cp:lastPrinted>
  <dcterms:created xsi:type="dcterms:W3CDTF">2015-10-15T13:35:00Z</dcterms:created>
  <dcterms:modified xsi:type="dcterms:W3CDTF">2015-10-15T13:35:00Z</dcterms:modified>
</cp:coreProperties>
</file>